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48" w:rsidRDefault="00AE5448" w:rsidP="00AE5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2</w:t>
      </w:r>
    </w:p>
    <w:p w:rsidR="00AE5448" w:rsidRDefault="00AE5448" w:rsidP="00AE5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Комісії</w:t>
      </w:r>
    </w:p>
    <w:p w:rsidR="00AE5448" w:rsidRDefault="00AE5448" w:rsidP="00AE5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23.11.2023 № </w:t>
      </w:r>
      <w:r w:rsidRPr="0000636C">
        <w:rPr>
          <w:color w:val="000000"/>
          <w:sz w:val="28"/>
          <w:szCs w:val="28"/>
          <w:u w:val="single"/>
        </w:rPr>
        <w:t>145/зп-23</w:t>
      </w: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Оголошення про проведення конкурсу </w:t>
      </w: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на зайняття 25 вакантних посад суддів </w:t>
      </w: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Вищого антикорупційного суду </w:t>
      </w:r>
    </w:p>
    <w:p w:rsidR="00AE5448" w:rsidRDefault="00AE5448" w:rsidP="00AE5448">
      <w:pPr>
        <w:jc w:val="center"/>
        <w:rPr>
          <w:b/>
          <w:color w:val="000000"/>
          <w:sz w:val="27"/>
          <w:szCs w:val="27"/>
        </w:rPr>
      </w:pP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Конкурс на зайняття вакантних посад суддів Вищого антикорупційного суду (далі – Конкурс) проводиться Вищою кваліфікаційною комісією суддів України відповідно до Закону України «Про судоустрій і статус суддів», Закону України «Про Вищий антикорупційний суд» та Положення про проведення конкурсу на зайняття вакантної посади судді та рішення Комісії.</w:t>
      </w:r>
    </w:p>
    <w:p w:rsidR="00AE5448" w:rsidRDefault="00AE5448" w:rsidP="00AE54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  <w:rPr>
          <w:color w:val="000000"/>
          <w:sz w:val="28"/>
          <w:szCs w:val="28"/>
        </w:rPr>
      </w:pPr>
      <w:bookmarkStart w:id="0" w:name="_heading=h.tyjcwt" w:colFirst="0" w:colLast="0"/>
      <w:bookmarkEnd w:id="0"/>
      <w:r>
        <w:rPr>
          <w:color w:val="000000"/>
          <w:sz w:val="28"/>
          <w:szCs w:val="28"/>
        </w:rPr>
        <w:t xml:space="preserve">Із чинним Положенням про проведення конкурсу на зайняття вакантної посади судді (далі – Положення) можна ознайомитись у підрозділі «Конкурс на посаду судді» розділу «Діяльність» офіційного </w:t>
      </w:r>
      <w:proofErr w:type="spellStart"/>
      <w:r>
        <w:rPr>
          <w:color w:val="000000"/>
          <w:sz w:val="28"/>
          <w:szCs w:val="28"/>
        </w:rPr>
        <w:t>вебсайту</w:t>
      </w:r>
      <w:proofErr w:type="spellEnd"/>
      <w:r>
        <w:rPr>
          <w:color w:val="000000"/>
          <w:sz w:val="28"/>
          <w:szCs w:val="28"/>
        </w:rPr>
        <w:t xml:space="preserve"> Комісії.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Вакантними є такі посади суддів: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15 посад суддів Вищого антикорупційного суду (перша інстанція);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10 посад суддів Апеляційної палати Вищого антикорупційного суду.</w:t>
      </w:r>
    </w:p>
    <w:p w:rsidR="00AE5448" w:rsidRPr="00F15BFD" w:rsidRDefault="00AE5448" w:rsidP="00AE5448">
      <w:pPr>
        <w:ind w:firstLine="709"/>
        <w:jc w:val="both"/>
        <w:rPr>
          <w:sz w:val="27"/>
          <w:szCs w:val="27"/>
        </w:rPr>
      </w:pPr>
      <w:r w:rsidRPr="00F15BFD">
        <w:rPr>
          <w:sz w:val="27"/>
          <w:szCs w:val="27"/>
        </w:rPr>
        <w:t>3. Строк п</w:t>
      </w:r>
      <w:r>
        <w:rPr>
          <w:sz w:val="27"/>
          <w:szCs w:val="27"/>
        </w:rPr>
        <w:t>одання документів для участі у К</w:t>
      </w:r>
      <w:r w:rsidRPr="00F15BFD">
        <w:rPr>
          <w:sz w:val="27"/>
          <w:szCs w:val="27"/>
        </w:rPr>
        <w:t>онкурсі –</w:t>
      </w:r>
      <w:sdt>
        <w:sdtPr>
          <w:tag w:val="goog_rdk_13"/>
          <w:id w:val="-52779118"/>
        </w:sdtPr>
        <w:sdtEndPr/>
        <w:sdtContent/>
      </w:sdt>
      <w:sdt>
        <w:sdtPr>
          <w:tag w:val="goog_rdk_14"/>
          <w:id w:val="-484548718"/>
        </w:sdtPr>
        <w:sdtEndPr/>
        <w:sdtContent/>
      </w:sdt>
      <w:r>
        <w:rPr>
          <w:sz w:val="27"/>
          <w:szCs w:val="27"/>
        </w:rPr>
        <w:t xml:space="preserve"> з 01 березня 2024 року д</w:t>
      </w:r>
      <w:r w:rsidRPr="00F15BFD">
        <w:rPr>
          <w:sz w:val="27"/>
          <w:szCs w:val="27"/>
        </w:rPr>
        <w:t>о 15 березня 2024 року (включно).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Особи, які надіслали до Комісії документи пізніше 15 </w:t>
      </w:r>
      <w:r>
        <w:rPr>
          <w:sz w:val="27"/>
          <w:szCs w:val="27"/>
        </w:rPr>
        <w:t>березня</w:t>
      </w:r>
      <w:r>
        <w:rPr>
          <w:color w:val="000000"/>
          <w:sz w:val="27"/>
          <w:szCs w:val="27"/>
        </w:rPr>
        <w:t xml:space="preserve"> 2024 року, до участі у Конкурсі не допускаються.</w:t>
      </w:r>
    </w:p>
    <w:p w:rsidR="00AE5448" w:rsidRPr="00FE75ED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 w:rsidRPr="00F15BFD">
        <w:rPr>
          <w:color w:val="000000"/>
          <w:sz w:val="27"/>
          <w:szCs w:val="27"/>
        </w:rPr>
        <w:t>5. Інформацію про форму на</w:t>
      </w:r>
      <w:r>
        <w:rPr>
          <w:color w:val="000000"/>
          <w:sz w:val="27"/>
          <w:szCs w:val="27"/>
        </w:rPr>
        <w:t>дсилання</w:t>
      </w:r>
      <w:r w:rsidRPr="00F15BFD">
        <w:rPr>
          <w:color w:val="000000"/>
          <w:sz w:val="27"/>
          <w:szCs w:val="27"/>
        </w:rPr>
        <w:t xml:space="preserve"> документів (паперова або електронна) буде визначено на підставі рішення Комісії</w:t>
      </w:r>
      <w:r>
        <w:rPr>
          <w:color w:val="000000"/>
          <w:sz w:val="27"/>
          <w:szCs w:val="27"/>
        </w:rPr>
        <w:t xml:space="preserve"> та </w:t>
      </w:r>
      <w:r w:rsidRPr="00FE75ED">
        <w:rPr>
          <w:color w:val="000000"/>
          <w:sz w:val="27"/>
          <w:szCs w:val="27"/>
        </w:rPr>
        <w:t xml:space="preserve">оприлюднено на офіційному </w:t>
      </w:r>
      <w:proofErr w:type="spellStart"/>
      <w:r w:rsidRPr="00FE75ED">
        <w:rPr>
          <w:color w:val="000000"/>
          <w:sz w:val="27"/>
          <w:szCs w:val="27"/>
        </w:rPr>
        <w:t>вебсайті</w:t>
      </w:r>
      <w:proofErr w:type="spellEnd"/>
      <w:r w:rsidRPr="00FE75ED">
        <w:rPr>
          <w:color w:val="000000"/>
          <w:sz w:val="27"/>
          <w:szCs w:val="27"/>
        </w:rPr>
        <w:t xml:space="preserve"> Комісії</w:t>
      </w:r>
      <w:r>
        <w:rPr>
          <w:color w:val="000000"/>
          <w:sz w:val="27"/>
          <w:szCs w:val="27"/>
        </w:rPr>
        <w:t xml:space="preserve"> додатково</w:t>
      </w:r>
      <w:r w:rsidRPr="00FE75ED">
        <w:rPr>
          <w:color w:val="000000"/>
          <w:sz w:val="27"/>
          <w:szCs w:val="27"/>
        </w:rPr>
        <w:t>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Для участі у Конкурсі кандидат на посаду судді має подати заяву згідно з додатком 3 до Положення, з якою необхідно надати: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копію паспорта громадянина України;</w:t>
      </w:r>
    </w:p>
    <w:p w:rsidR="00AE5448" w:rsidRDefault="00AE5448" w:rsidP="00AE54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 анкету кандидата на посаду судді згідно з додатком 4 до Положення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eastAsia="Calibri"/>
          <w:sz w:val="27"/>
          <w:szCs w:val="27"/>
        </w:rPr>
        <w:t>о</w:t>
      </w:r>
      <w:r>
        <w:rPr>
          <w:sz w:val="27"/>
          <w:szCs w:val="27"/>
        </w:rPr>
        <w:t>кремо зазначаються відомості про участь у розгляді справ, що згідно із законом належать до юрисдикції Вищого антикорупційного суду, а також інформація щодо наукової діяльності у сфері компетенції цього суду (за наявності такого стажу/досвіду);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мотиваційний лист, у якому викладаються мотиви бути суддею;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декларацію родинних зв’язків кандидата на посаду судді;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5) </w:t>
      </w:r>
      <w:sdt>
        <w:sdtPr>
          <w:tag w:val="goog_rdk_15"/>
          <w:id w:val="502099300"/>
        </w:sdtPr>
        <w:sdtEndPr/>
        <w:sdtContent/>
      </w:sdt>
      <w:sdt>
        <w:sdtPr>
          <w:tag w:val="goog_rdk_16"/>
          <w:id w:val="-194689549"/>
        </w:sdtPr>
        <w:sdtEndPr/>
        <w:sdtContent/>
      </w:sdt>
      <w:sdt>
        <w:sdtPr>
          <w:tag w:val="goog_rdk_17"/>
          <w:id w:val="-886949710"/>
        </w:sdtPr>
        <w:sdtEndPr/>
        <w:sdtContent/>
      </w:sdt>
      <w:r>
        <w:rPr>
          <w:color w:val="000000"/>
          <w:sz w:val="27"/>
          <w:szCs w:val="27"/>
        </w:rPr>
        <w:t xml:space="preserve">декларацію доброчесності кандидата на посаду </w:t>
      </w:r>
      <w:sdt>
        <w:sdtPr>
          <w:tag w:val="goog_rdk_18"/>
          <w:id w:val="664201858"/>
        </w:sdtPr>
        <w:sdtEndPr/>
        <w:sdtContent/>
      </w:sdt>
      <w:sdt>
        <w:sdtPr>
          <w:tag w:val="goog_rdk_19"/>
          <w:id w:val="-173961982"/>
        </w:sdtPr>
        <w:sdtEndPr/>
        <w:sdtContent/>
      </w:sdt>
      <w:r>
        <w:rPr>
          <w:color w:val="000000"/>
          <w:sz w:val="27"/>
          <w:szCs w:val="27"/>
        </w:rPr>
        <w:t>судді;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копію диплома про вищу юридичну освіту (з додатками), здобуту в Україні,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 (за наявності);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копію трудової книжки, послужного списку (за наявності) або інших документів щодо трудової діяльності кандидата на посаду судді;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довідку про проходження попереднього, періодичного та позачергового психіатричних оглядів за формою первинної облікової документації № 100-2/о;</w:t>
      </w:r>
    </w:p>
    <w:p w:rsidR="00AE5448" w:rsidRDefault="00AE5448" w:rsidP="00AE54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9) письмову згоду на збирання, зберігання, обробку та використання інформації про кандидата з метою оцінки його готовності до роботи на посаді судді згідно з додатком 5 до Положення;</w:t>
      </w:r>
    </w:p>
    <w:p w:rsidR="00AE5448" w:rsidRDefault="00AE5448" w:rsidP="00AE54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10) згоду на проведення щодо нього спеціальної перевірки відповідно до закону згідно з додатком 6 до Положення;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копію декларації особи, уповноваженої на виконання функцій держави або місцевого самоврядування, яка охоплює період року, що передує року подання документів, </w:t>
      </w:r>
      <w:r w:rsidRPr="00F15BFD">
        <w:rPr>
          <w:color w:val="000000"/>
          <w:sz w:val="27"/>
          <w:szCs w:val="27"/>
        </w:rPr>
        <w:t>та посилання на відповідну сторінку Єдиного державного реєстру декларацій осіб, уповноважених на виконання функцій держави або місцевого самоврядування</w:t>
      </w:r>
      <w:r>
        <w:rPr>
          <w:color w:val="000000"/>
          <w:sz w:val="27"/>
          <w:szCs w:val="27"/>
        </w:rPr>
        <w:t>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копію військового квитка (для військовослужбовців або військовозобов’язаних);</w:t>
      </w:r>
    </w:p>
    <w:p w:rsidR="00AE5448" w:rsidRDefault="00AE5448" w:rsidP="00AE54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  <w:r>
        <w:rPr>
          <w:color w:val="000000"/>
          <w:sz w:val="27"/>
          <w:szCs w:val="27"/>
        </w:rPr>
        <w:t xml:space="preserve">) </w:t>
      </w:r>
      <w:sdt>
        <w:sdtPr>
          <w:tag w:val="goog_rdk_21"/>
          <w:id w:val="510419202"/>
        </w:sdtPr>
        <w:sdtEndPr/>
        <w:sdtContent/>
      </w:sdt>
      <w:r>
        <w:rPr>
          <w:color w:val="000000"/>
          <w:sz w:val="27"/>
          <w:szCs w:val="27"/>
        </w:rPr>
        <w:t>документи, що підтверджують відповідність кандидата на посаду судді окремим вимогам статті 69 Закону України «Про судоустрій і статус суддів»;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документи, які підтверджують дотримання однієї із вимог, передбачених частиною другою статті 7 Закону України «Про Вищий антикорупційний суд»;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 заяву про відсутність обставин, зазначених у частині четвертій статті 7 Закону України «Про Вищий антикорупційний суд»,</w:t>
      </w:r>
      <w:r>
        <w:rPr>
          <w:sz w:val="27"/>
          <w:szCs w:val="27"/>
        </w:rPr>
        <w:t xml:space="preserve"> згідно з додатком 1 до Умов про проведення конкурсу на зайняття 25 вакантних посад суддів Вищого антикорупційного суду (далі – Умови)</w:t>
      </w:r>
      <w:r>
        <w:rPr>
          <w:color w:val="000000"/>
          <w:sz w:val="27"/>
          <w:szCs w:val="27"/>
        </w:rPr>
        <w:t>;</w:t>
      </w:r>
    </w:p>
    <w:p w:rsidR="00AE5448" w:rsidRDefault="00AE5448" w:rsidP="00AE5448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електронний носій із засвідченими кваліфікованим електронним підписом сканованими копіями документів, визначених Умовами, та інформацією про кандидата за формою згідно з додатком 2 до Умов.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Документи, визначені підпунктами 2–16 пункту 6 цього оголошення, оформлюються у вигляді додатка до заяви і мають бути розміщені у порядку їх черговості, визначеному формою заяви, та пронумеровані простим олівцем згідно із загальною кількістю аркушів додатка.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Кандидату, який має намір взяти участь у конкурсі до Вищого антикорупційного суду, у відповідних полях заяви необхідно зазначити «Вищий антикорупційний суд» у родовому відмінку.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Кандидату, який має намір взяти участь у конкурсі до Апеляційної палати Вищого антикорупційного суду, у відповідних полях заяви необхідно зазначити «Апеляційна палата Вищого антикорупційного суду» у родовому відмінку. 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Умови проведення Конкурсу.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Конкурс на зайняття вакантних посад суддів Вищого антикорупційного суду як суду першої інстанції та Апеляційної палати Вищого антикорупційного суду</w:t>
      </w:r>
      <w:sdt>
        <w:sdtPr>
          <w:tag w:val="goog_rdk_8"/>
          <w:id w:val="-994722049"/>
        </w:sdtPr>
        <w:sdtEndPr/>
        <w:sdtContent/>
      </w:sdt>
      <w:sdt>
        <w:sdtPr>
          <w:tag w:val="goog_rdk_9"/>
          <w:id w:val="-1297683226"/>
        </w:sdtPr>
        <w:sdtEndPr/>
        <w:sdtContent/>
      </w:sdt>
      <w:r>
        <w:rPr>
          <w:color w:val="000000"/>
          <w:sz w:val="27"/>
          <w:szCs w:val="27"/>
        </w:rPr>
        <w:t xml:space="preserve"> є окремими процедурами в межах оголошеного Конкурсу.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8.2. До участі у Конкурсі допускаються особи, які: 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 порядку та строки, визначені цим оголошенням, подали всі необхідні документи;</w:t>
      </w:r>
    </w:p>
    <w:p w:rsidR="00AE5448" w:rsidRDefault="00AE5448" w:rsidP="00AE5448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 (далі – кандидат).</w:t>
      </w:r>
    </w:p>
    <w:p w:rsidR="00AE5448" w:rsidRDefault="00AE5448" w:rsidP="00AE5448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8.3. У визначений Комісією строк та в межах оголошеного Конкурсу кандидат може звернутися лише з однією заявою </w:t>
      </w:r>
      <w:r>
        <w:rPr>
          <w:sz w:val="27"/>
          <w:szCs w:val="27"/>
        </w:rPr>
        <w:t xml:space="preserve">про участь у Конкурсі та про проведення </w:t>
      </w:r>
      <w:bookmarkStart w:id="1" w:name="_GoBack"/>
      <w:bookmarkEnd w:id="1"/>
      <w:r>
        <w:rPr>
          <w:sz w:val="27"/>
          <w:szCs w:val="27"/>
        </w:rPr>
        <w:t xml:space="preserve">кваліфікаційного оцінювання </w:t>
      </w:r>
      <w:r>
        <w:rPr>
          <w:sz w:val="27"/>
          <w:szCs w:val="27"/>
          <w:highlight w:val="white"/>
        </w:rPr>
        <w:t xml:space="preserve">виключно в один із судів, до яких </w:t>
      </w:r>
      <w:r>
        <w:rPr>
          <w:sz w:val="27"/>
          <w:szCs w:val="27"/>
          <w:highlight w:val="white"/>
        </w:rPr>
        <w:lastRenderedPageBreak/>
        <w:t xml:space="preserve">оголошено Конкурс: </w:t>
      </w:r>
      <w:r>
        <w:rPr>
          <w:sz w:val="27"/>
          <w:szCs w:val="27"/>
        </w:rPr>
        <w:t>Вищий антикорупційний суд або Апеляційна палата Вищого антикорупційного суду</w:t>
      </w:r>
      <w:r>
        <w:rPr>
          <w:sz w:val="27"/>
          <w:szCs w:val="27"/>
          <w:highlight w:val="white"/>
        </w:rPr>
        <w:t>.</w:t>
      </w:r>
    </w:p>
    <w:p w:rsidR="00AE5448" w:rsidRDefault="00AE5448" w:rsidP="00AE5448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>8.4. Особа, яка бере участь у Конкурсі та не є суддею, зобов’язана подавати декларації родинних зв’язків та доброчесності кандидата на посаду судді щорічно у період до 01 лютого.</w:t>
      </w:r>
    </w:p>
    <w:p w:rsidR="00AE5448" w:rsidRDefault="00AE5448" w:rsidP="00AE5448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>8.5. Особа, яка бере участь у Конкурсі та не має обов’язку щорічно подавати декларацію особи, уповноваженої на виконання функцій держави або місцевого самоврядування, зобов’язана подавати таку декларацію як кандидат на посаду судді щорічно до 01 квітня.</w:t>
      </w:r>
    </w:p>
    <w:p w:rsidR="00AE5448" w:rsidRDefault="00AE5448" w:rsidP="00AE5448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>Копії таких декларацій має бути направлено до Комісії упродовж десяти днів після ухвалення Комісією рішення про допуск особи до етапу кваліфікаційного оцінювання «Дослідження досьє та проведення співбесіди».</w:t>
      </w:r>
    </w:p>
    <w:p w:rsidR="00AE5448" w:rsidRDefault="00AE5448" w:rsidP="00AE5448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9. </w:t>
      </w:r>
      <w:sdt>
        <w:sdtPr>
          <w:tag w:val="goog_rdk_22"/>
          <w:id w:val="-317113243"/>
        </w:sdtPr>
        <w:sdtEndPr/>
        <w:sdtContent/>
      </w:sdt>
      <w:r>
        <w:rPr>
          <w:sz w:val="27"/>
          <w:szCs w:val="27"/>
          <w:highlight w:val="white"/>
        </w:rPr>
        <w:t xml:space="preserve">Дата, час та місце проведення Конкурсу будуть визначені рішенням Комісії та оприлюднені на офіційному </w:t>
      </w:r>
      <w:proofErr w:type="spellStart"/>
      <w:r>
        <w:rPr>
          <w:sz w:val="27"/>
          <w:szCs w:val="27"/>
          <w:highlight w:val="white"/>
        </w:rPr>
        <w:t>вебсайті</w:t>
      </w:r>
      <w:proofErr w:type="spellEnd"/>
      <w:r>
        <w:rPr>
          <w:sz w:val="27"/>
          <w:szCs w:val="27"/>
          <w:highlight w:val="white"/>
        </w:rPr>
        <w:t xml:space="preserve"> Комісії додатково.</w:t>
      </w:r>
    </w:p>
    <w:p w:rsidR="007A01BC" w:rsidRDefault="007A01BC"/>
    <w:sectPr w:rsidR="007A01BC" w:rsidSect="0000636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6C" w:rsidRDefault="0000636C" w:rsidP="0000636C">
      <w:r>
        <w:separator/>
      </w:r>
    </w:p>
  </w:endnote>
  <w:endnote w:type="continuationSeparator" w:id="0">
    <w:p w:rsidR="0000636C" w:rsidRDefault="0000636C" w:rsidP="0000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6C" w:rsidRDefault="0000636C" w:rsidP="0000636C">
      <w:r>
        <w:separator/>
      </w:r>
    </w:p>
  </w:footnote>
  <w:footnote w:type="continuationSeparator" w:id="0">
    <w:p w:rsidR="0000636C" w:rsidRDefault="0000636C" w:rsidP="00006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6351446"/>
      <w:docPartObj>
        <w:docPartGallery w:val="Page Numbers (Top of Page)"/>
        <w:docPartUnique/>
      </w:docPartObj>
    </w:sdtPr>
    <w:sdtContent>
      <w:p w:rsidR="0000636C" w:rsidRDefault="000063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636C">
          <w:rPr>
            <w:noProof/>
            <w:lang w:val="ru-RU"/>
          </w:rPr>
          <w:t>3</w:t>
        </w:r>
        <w:r>
          <w:fldChar w:fldCharType="end"/>
        </w:r>
      </w:p>
    </w:sdtContent>
  </w:sdt>
  <w:p w:rsidR="0000636C" w:rsidRDefault="000063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FB"/>
    <w:rsid w:val="0000636C"/>
    <w:rsid w:val="007A01BC"/>
    <w:rsid w:val="00853BAC"/>
    <w:rsid w:val="00AE5448"/>
    <w:rsid w:val="00B0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E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448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063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636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0063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36C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E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448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063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636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0063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36C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4052</Words>
  <Characters>2311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3</cp:revision>
  <dcterms:created xsi:type="dcterms:W3CDTF">2023-12-05T08:59:00Z</dcterms:created>
  <dcterms:modified xsi:type="dcterms:W3CDTF">2023-12-05T14:06:00Z</dcterms:modified>
</cp:coreProperties>
</file>