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871816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1816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871816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871816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871816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871816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871816" w:rsidRDefault="001F04E1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травня</w:t>
      </w:r>
      <w:r w:rsidR="00004062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9E65DE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EC7F94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C7F94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E4D66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9E65DE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004062" w:rsidRPr="00871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871816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AF44F9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8718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8718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8718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AF44F9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en-US" w:eastAsia="ru-RU"/>
        </w:rPr>
        <w:t>116/</w:t>
      </w:r>
      <w:r w:rsidR="00AF44F9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зп-24</w:t>
      </w:r>
    </w:p>
    <w:p w:rsidR="00F36D0E" w:rsidRPr="00871816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871816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718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87181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Pr="00871816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871816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головуючого – </w:t>
      </w:r>
      <w:r w:rsidR="00307CD3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Руслана СИДОРОВИЧА</w:t>
      </w:r>
      <w:r w:rsidR="0091085D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871816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AF44F9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en-US" w:eastAsia="ar-SA"/>
        </w:rPr>
      </w:pPr>
      <w:r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членів Комісії:</w:t>
      </w:r>
      <w:r w:rsidR="00424579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AA14F4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Михайла БОГОНОСА, Людмили ВОЛКОВОЇ, Ярослава ДУХА, Романа КИДИСЮКА, </w:t>
      </w:r>
      <w:r w:rsidR="00DB766A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Олега КОЛІУША, Руслана МЕЛЬНИКА</w:t>
      </w:r>
      <w:r w:rsidR="002D26C0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EC7F94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(доповідач)</w:t>
      </w:r>
      <w:r w:rsidR="00DB766A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647A67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DB766A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Олексія ОМЕЛЬЯНА</w:t>
      </w:r>
      <w:r w:rsidR="00C853EF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DB766A" w:rsidRPr="0087181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Андрія ПАСІЧНИКА, Романа САБОДАША, Сергія ЧУМАКА, </w:t>
      </w:r>
    </w:p>
    <w:p w:rsidR="008120AE" w:rsidRPr="00871816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871816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7181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87181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DB766A" w:rsidRPr="0087181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87181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2A531A" w:rsidRPr="0087181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Гацелюка</w:t>
      </w:r>
      <w:proofErr w:type="spellEnd"/>
      <w:r w:rsidR="002A531A" w:rsidRPr="0087181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Віталія Олександровича про врегулювання потенційного конфлікту інтересів</w:t>
      </w:r>
      <w:r w:rsidR="00AE2136" w:rsidRPr="008718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2A531A" w:rsidRPr="00871816" w:rsidRDefault="002A531A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1F04E1" w:rsidRPr="00871816" w:rsidRDefault="001F04E1" w:rsidP="001F04E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1F04E1" w:rsidRPr="00871816" w:rsidRDefault="001F04E1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1F04E1" w:rsidRPr="00871816" w:rsidRDefault="001F04E1" w:rsidP="001F0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ради правосуддя від 01 червня 2023 року № 600/0/15-</w:t>
      </w:r>
      <w:r w:rsidRPr="00AF44F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23 </w:t>
      </w:r>
      <w:r w:rsidRPr="00AF44F9"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proofErr w:type="spellStart"/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Гацелюка</w:t>
      </w:r>
      <w:proofErr w:type="spellEnd"/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В.О. призначено на посаду члена Вищої кваліфікаційної комісії суддів України.</w:t>
      </w:r>
    </w:p>
    <w:p w:rsidR="00A47F54" w:rsidRPr="00871816" w:rsidRDefault="001F04E1" w:rsidP="001F0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Рішенням Вищої кваліфікаційної комісії суддів України від 23 листопада </w:t>
      </w:r>
      <w:r w:rsidR="00343F70"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2023 року № 145/зп-23 (зі змінами, внесеними рішенням Комісії від 23 січня </w:t>
      </w:r>
      <w:r w:rsidR="00CB0C3C"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2024 року № 26/зп-24) оголошено</w:t>
      </w:r>
      <w:r w:rsidR="008D1822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конкурс</w:t>
      </w:r>
      <w:r w:rsidR="008D1822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</w:t>
      </w:r>
      <w:r w:rsidR="008D1822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зайняття</w:t>
      </w:r>
      <w:r w:rsidR="008D1822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25</w:t>
      </w:r>
      <w:r w:rsidR="008D1822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вакантних</w:t>
      </w:r>
      <w:r w:rsidR="008D1822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посад</w:t>
      </w:r>
      <w:r w:rsidR="008D1822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суддів</w:t>
      </w:r>
      <w:r w:rsidR="008D1822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Вищого</w:t>
      </w:r>
      <w:r w:rsidR="005F179F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антикорупційного</w:t>
      </w:r>
      <w:r w:rsidR="008D1822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суду</w:t>
      </w:r>
      <w:r w:rsidR="00343F70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та Апеляційної палати Вищого антикорупційного суду</w:t>
      </w:r>
      <w:r w:rsidR="00A47F54"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D07209" w:rsidRPr="00871816" w:rsidRDefault="001F04E1" w:rsidP="00923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="005F179F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Гацелюк</w:t>
      </w:r>
      <w:proofErr w:type="spellEnd"/>
      <w:r w:rsidR="005F179F"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В.О.</w:t>
      </w:r>
      <w:r w:rsidRPr="008718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F179F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25 квітня</w:t>
      </w: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br/>
        <w:t xml:space="preserve">2024 року подав заяву про </w:t>
      </w:r>
      <w:r w:rsidR="005F179F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врегулювання п</w:t>
      </w:r>
      <w:r w:rsidR="00D07209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отенційного конфлікту інтересів, в якій</w:t>
      </w:r>
      <w:r w:rsidR="00343F70"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повідомив, що </w:t>
      </w:r>
      <w:r w:rsidR="00D07209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серед кандидатів, я</w:t>
      </w:r>
      <w:r w:rsidR="005F179F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кі беруть участь у вказаному вище конкурсі</w:t>
      </w:r>
      <w:r w:rsidR="00D07209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5F179F"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є особи, з якими </w:t>
      </w:r>
      <w:r w:rsidR="00D07209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він знайомий</w:t>
      </w:r>
      <w:r w:rsidR="00343F70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</w:t>
      </w:r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межах науков</w:t>
      </w:r>
      <w:r w:rsidR="00343F70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ої діяльності, спільної участі в наукових заходах, у</w:t>
      </w:r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тому числі організованих за час його роботи в ОБСЄ, а саме: Андрушко Андрій Васильович, Зайцев Олексій Володимирович, </w:t>
      </w:r>
      <w:proofErr w:type="spellStart"/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Зеленов</w:t>
      </w:r>
      <w:proofErr w:type="spellEnd"/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Геннадій Михайлович, </w:t>
      </w:r>
      <w:proofErr w:type="spellStart"/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Книженко</w:t>
      </w:r>
      <w:proofErr w:type="spellEnd"/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Оксана Олександрівна</w:t>
      </w:r>
      <w:r w:rsidR="007903B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proofErr w:type="spellStart"/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Радутний</w:t>
      </w:r>
      <w:proofErr w:type="spellEnd"/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Олександр Едуардович, </w:t>
      </w:r>
      <w:proofErr w:type="spellStart"/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Стеблинська</w:t>
      </w:r>
      <w:proofErr w:type="spellEnd"/>
      <w:r w:rsidR="00D0720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Оксана Степанівна, Ященко Андрій Миколайович.</w:t>
      </w:r>
    </w:p>
    <w:p w:rsidR="00D07209" w:rsidRPr="00871816" w:rsidRDefault="00D07209" w:rsidP="00923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Крім того, в заяві </w:t>
      </w:r>
      <w:r w:rsidR="00343F70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вказано</w:t>
      </w:r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що </w:t>
      </w:r>
      <w:proofErr w:type="spellStart"/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Гацелюк</w:t>
      </w:r>
      <w:proofErr w:type="spellEnd"/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В.О. був опонентом під час захисту кандидатської дисертації </w:t>
      </w:r>
      <w:proofErr w:type="spellStart"/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Берднік</w:t>
      </w:r>
      <w:proofErr w:type="spellEnd"/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Інною Володимирівною</w:t>
      </w:r>
      <w:r w:rsidR="007903B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343F70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надавав відгук на автореферат дисертації Колос Ольги</w:t>
      </w:r>
      <w:r w:rsidR="00987F15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Валер</w:t>
      </w:r>
      <w:r w:rsidR="007903B9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іївн</w:t>
      </w:r>
      <w:r w:rsidR="00343F70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="00CB0C3C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. З кандидат</w:t>
      </w:r>
      <w:r w:rsidR="00987F15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ами Широкою Катериною Юріївною та </w:t>
      </w:r>
      <w:proofErr w:type="spellStart"/>
      <w:r w:rsidR="00987F15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Харакозом</w:t>
      </w:r>
      <w:proofErr w:type="spellEnd"/>
      <w:r w:rsidR="00987F15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Костянтином Сергійовичем член Комісії зн</w:t>
      </w:r>
      <w:r w:rsidR="00343F70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айомий у зв’язку з проведенням с</w:t>
      </w:r>
      <w:r w:rsidR="008710EE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емінарів </w:t>
      </w:r>
      <w:proofErr w:type="spellStart"/>
      <w:r w:rsidR="008710EE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Аспен</w:t>
      </w:r>
      <w:proofErr w:type="spellEnd"/>
      <w:r w:rsidR="008710EE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Інституту</w:t>
      </w:r>
      <w:r w:rsidR="00987F15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Київ «Справедливість, суспільство та закон».</w:t>
      </w:r>
    </w:p>
    <w:p w:rsidR="00DA706D" w:rsidRPr="00871816" w:rsidRDefault="00DA706D" w:rsidP="00923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Член Комісії </w:t>
      </w:r>
      <w:proofErr w:type="spellStart"/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Гацелюк</w:t>
      </w:r>
      <w:proofErr w:type="spellEnd"/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В.О. також зазначив, що  відносини із вказаними вище особами мають виключно </w:t>
      </w:r>
      <w:r w:rsidR="00546EDA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службовий або науковий характер</w:t>
      </w:r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 не обумовлюють наявність потенційного конфлікту інтересів, вважає себе безстороннім стосовно </w:t>
      </w:r>
      <w:r w:rsidR="00343F70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цих</w:t>
      </w:r>
      <w:r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осіб</w:t>
      </w:r>
      <w:r w:rsidR="00343F70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1F04E1" w:rsidRPr="00871816" w:rsidRDefault="001F04E1" w:rsidP="001F0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Розглянувши заяву </w:t>
      </w:r>
      <w:proofErr w:type="spellStart"/>
      <w:r w:rsidR="00987F15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Гацелюка</w:t>
      </w:r>
      <w:proofErr w:type="spellEnd"/>
      <w:r w:rsidR="00987F15"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В.О.</w:t>
      </w: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1F04E1" w:rsidRPr="00871816" w:rsidRDefault="001F04E1" w:rsidP="001F0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79 Закону</w:t>
      </w:r>
      <w:r w:rsidRPr="008718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України «Про судоустрій і статус суддів» від </w:t>
      </w:r>
      <w:r w:rsidR="00343F70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02 червня 2016 року № 1402-VIII</w:t>
      </w: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987F15" w:rsidRPr="00871816" w:rsidRDefault="001F04E1" w:rsidP="001F0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Частинами першою, третьою статті 92 Закону передбачено,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</w:t>
      </w:r>
    </w:p>
    <w:p w:rsidR="001F04E1" w:rsidRPr="00871816" w:rsidRDefault="001F04E1" w:rsidP="001F0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A706D" w:rsidRPr="00871816" w:rsidRDefault="00DA706D" w:rsidP="008E4D6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71816">
        <w:rPr>
          <w:color w:val="000000"/>
          <w:sz w:val="26"/>
          <w:szCs w:val="26"/>
        </w:rPr>
        <w:t xml:space="preserve">Згідно з частиною першою статті 1 Закону України «Про запобігання корупції» від </w:t>
      </w:r>
      <w:r w:rsidR="00CB0C3C" w:rsidRPr="00871816">
        <w:rPr>
          <w:color w:val="000000"/>
          <w:sz w:val="26"/>
          <w:szCs w:val="26"/>
        </w:rPr>
        <w:t xml:space="preserve">14 жовтня 2014 року № 1700-VII </w:t>
      </w:r>
      <w:r w:rsidRPr="00871816">
        <w:rPr>
          <w:color w:val="000000"/>
          <w:sz w:val="26"/>
          <w:szCs w:val="26"/>
        </w:rPr>
        <w:t>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DA706D" w:rsidRPr="00871816" w:rsidRDefault="00DA706D" w:rsidP="008E4D6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871816">
        <w:rPr>
          <w:color w:val="000000"/>
          <w:sz w:val="26"/>
          <w:szCs w:val="26"/>
        </w:rPr>
        <w:t>Відповідно до пункту 4 частини першої статті 28 вказаного закону особи, зазначені у пунктах 1, 2 частини першої ста</w:t>
      </w:r>
      <w:r w:rsidR="00CB0C3C" w:rsidRPr="00871816">
        <w:rPr>
          <w:color w:val="000000"/>
          <w:sz w:val="26"/>
          <w:szCs w:val="26"/>
        </w:rPr>
        <w:t>тті 3 цього Закону, зобов’язані</w:t>
      </w:r>
      <w:r w:rsidRPr="00871816">
        <w:rPr>
          <w:color w:val="000000"/>
          <w:sz w:val="26"/>
          <w:szCs w:val="26"/>
        </w:rPr>
        <w:t xml:space="preserve"> вжити заходів щодо врегулювання реального чи потенційного конфлікту інтересів.</w:t>
      </w:r>
    </w:p>
    <w:p w:rsidR="001F04E1" w:rsidRPr="00871816" w:rsidRDefault="001F04E1" w:rsidP="001F0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1F04E1" w:rsidRPr="00871816" w:rsidRDefault="001F04E1" w:rsidP="001F0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A706D" w:rsidRPr="00871816" w:rsidRDefault="001F04E1" w:rsidP="00DA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DA706D" w:rsidRPr="00871816" w:rsidRDefault="00DA706D" w:rsidP="00DA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З огляду на вказане Комісія вважає, що у члена Комісії </w:t>
      </w:r>
      <w:proofErr w:type="spellStart"/>
      <w:r w:rsidR="008E4D66"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>Г</w:t>
      </w:r>
      <w:r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>ацелюка</w:t>
      </w:r>
      <w:proofErr w:type="spellEnd"/>
      <w:r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В.О. відсутній приватний інтерес, зумовлений особистими, сімейними, дружніми чи іншими позаслужбовими стосунками із зазначеними кандидатами</w:t>
      </w:r>
      <w:r w:rsidR="00343F70"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на посади</w:t>
      </w:r>
      <w:r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суддів Вищого антикорупційного суду, тому потенційний конфлікт інтересів під час здійснення ним повноважень члена Вищої кваліфікаційної комісії</w:t>
      </w:r>
      <w:r w:rsidR="00343F70"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суддів України</w:t>
      </w:r>
      <w:r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також відсутній.</w:t>
      </w:r>
    </w:p>
    <w:p w:rsidR="002B1AB1" w:rsidRPr="00871816" w:rsidRDefault="002B1AB1" w:rsidP="00DA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Комісія дійшла висновку про відсутність </w:t>
      </w:r>
      <w:r w:rsidR="007903B9" w:rsidRPr="008718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інших </w:t>
      </w:r>
      <w:r w:rsidRPr="008718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підстав, що 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можуть викликати сумніви в безсторонності члена Комісії</w:t>
      </w:r>
      <w:r w:rsidR="007903B9"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щодо зазначених в заяві кандидатів</w:t>
      </w:r>
      <w:r w:rsidRPr="00871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DA706D" w:rsidRPr="00871816" w:rsidRDefault="00DA706D" w:rsidP="00DA7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Таким чином, заява </w:t>
      </w:r>
      <w:proofErr w:type="spellStart"/>
      <w:r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>Гацелюка</w:t>
      </w:r>
      <w:proofErr w:type="spellEnd"/>
      <w:r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В.О. про врегулювання потенційного конфлікту інтересів під час здійснення ним повноважень члена Вищої кваліфікаційної комісії суддів України </w:t>
      </w:r>
      <w:r w:rsidR="002B1AB1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 межах конкурсу на зайняття вакантних </w:t>
      </w:r>
      <w:r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посад суддів Вищого антикорупційного суду та Апеляційної палати Вищого антикорупційного суду, </w:t>
      </w:r>
      <w:r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оголошеного рішенням Вищої кваліфі</w:t>
      </w:r>
      <w:r w:rsidR="002B1AB1"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каційної комісії суддів України</w:t>
      </w:r>
      <w:r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від 23 листопада 2023 року №</w:t>
      </w:r>
      <w:r w:rsidR="00AF44F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145</w:t>
      </w:r>
      <w:r w:rsidR="008E4D66"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/зп-23, з</w:t>
      </w:r>
      <w:r w:rsidRPr="00871816">
        <w:rPr>
          <w:rFonts w:ascii="Times New Roman" w:hAnsi="Times New Roman" w:cs="Times New Roman"/>
          <w:color w:val="1D1D1B"/>
          <w:sz w:val="26"/>
          <w:szCs w:val="26"/>
          <w:lang w:val="uk-UA"/>
        </w:rPr>
        <w:t>адоволенню не підлягає.</w:t>
      </w:r>
    </w:p>
    <w:p w:rsidR="002C0B21" w:rsidRPr="00871816" w:rsidRDefault="001F04E1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Керуючись статтями 92, 93, 100, 101 Закону України «Про судоустрій і статус суддів», Вища кваліфікаційна комісія суддів України </w:t>
      </w:r>
      <w:r w:rsidR="00457AC6"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одноголосно</w:t>
      </w:r>
    </w:p>
    <w:p w:rsidR="008E4D66" w:rsidRPr="00871816" w:rsidRDefault="008E4D66" w:rsidP="00CC4FF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C4FF7" w:rsidRPr="00871816" w:rsidRDefault="00CC4FF7" w:rsidP="00CC4FF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1816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CC4FF7" w:rsidRPr="00871816" w:rsidRDefault="00CC4FF7" w:rsidP="00CC4FF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C4FF7" w:rsidRPr="00871816" w:rsidRDefault="00B53969" w:rsidP="002A5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 w:rsidRPr="008718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відмовити в</w:t>
      </w:r>
      <w:r w:rsidR="00CC4FF7" w:rsidRPr="008718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задоволенні заяви </w:t>
      </w:r>
      <w:r w:rsidR="00CC4FF7" w:rsidRPr="00871816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2A531A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>К</w:t>
      </w:r>
      <w:r w:rsidR="00CC4FF7" w:rsidRPr="0087181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омісії </w:t>
      </w:r>
      <w:proofErr w:type="spellStart"/>
      <w:r w:rsidR="002A531A" w:rsidRPr="00871816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Гацелюка</w:t>
      </w:r>
      <w:proofErr w:type="spellEnd"/>
      <w:r w:rsidR="002A531A" w:rsidRPr="00871816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Віталія Олександровича</w:t>
      </w:r>
      <w:r w:rsidR="00CC4FF7" w:rsidRPr="00871816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 w:rsidR="00CC4FF7"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про </w:t>
      </w:r>
      <w:r w:rsidR="002A531A" w:rsidRPr="0087181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врегулювання потенційного конфлікту інтересів</w:t>
      </w:r>
      <w:r w:rsidR="002A531A" w:rsidRPr="008718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2A531A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під час здійснення ним повноважень члена Вищої кваліфікаційної комісії суддів України</w:t>
      </w:r>
      <w:r w:rsidR="00CB0C3C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 межах конкурсу на зайняття </w:t>
      </w:r>
      <w:r w:rsidR="002A531A" w:rsidRPr="008718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вакантних  посад суддів Вищого антикорупційного суду та Апеляційної палати Вищого антикорупційного суду, </w:t>
      </w:r>
      <w:r w:rsidR="00CC4FF7"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оголошеного рішенням Вищої кваліфікаційної комісії суддів України </w:t>
      </w:r>
      <w:bookmarkStart w:id="0" w:name="_GoBack"/>
      <w:bookmarkEnd w:id="0"/>
      <w:r w:rsidR="00CC4FF7"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від </w:t>
      </w:r>
      <w:r w:rsidR="002A531A"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23 листопада 2023 року №</w:t>
      </w:r>
      <w:r w:rsidR="00AF44F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2A531A"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145</w:t>
      </w:r>
      <w:r w:rsidR="00CC4FF7" w:rsidRPr="0087181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/зп-23.</w:t>
      </w:r>
    </w:p>
    <w:p w:rsidR="00B53969" w:rsidRPr="00871816" w:rsidRDefault="00B53969" w:rsidP="00CC4F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p w:rsidR="002C0B21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C16A8"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5D22AF"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307CD3"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Руслан СИДОРОВИЧ</w:t>
      </w:r>
    </w:p>
    <w:p w:rsidR="008A0452" w:rsidRPr="00871816" w:rsidRDefault="008A045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Pr="00871816" w:rsidRDefault="008A045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F3F72"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Михайло БОГОНІС</w:t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</w:p>
    <w:p w:rsidR="008A0452" w:rsidRPr="00871816" w:rsidRDefault="008A045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Pr="00871816" w:rsidRDefault="008A045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F3F72"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Людмила ВОЛКОВА</w:t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</w:p>
    <w:p w:rsidR="008A0452" w:rsidRPr="00871816" w:rsidRDefault="008A045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2D26C0" w:rsidRPr="00871816" w:rsidRDefault="002C0B21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8A0452"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8A0452"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F3F72"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Ярослав ДУХ</w:t>
      </w:r>
    </w:p>
    <w:p w:rsidR="008A0452" w:rsidRPr="00871816" w:rsidRDefault="008A045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Роман КИДИСЮК</w:t>
      </w:r>
    </w:p>
    <w:p w:rsidR="000F3F72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Олег КОЛІУШ</w:t>
      </w:r>
    </w:p>
    <w:p w:rsidR="008A0452" w:rsidRPr="00871816" w:rsidRDefault="008A0452" w:rsidP="000F3F72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Руслан МЕЛЬНИК</w:t>
      </w:r>
    </w:p>
    <w:p w:rsidR="000F3F72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Олексій ОМЕЛЬЯН</w:t>
      </w:r>
    </w:p>
    <w:p w:rsidR="000F3F72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2C0B21" w:rsidRPr="00871816" w:rsidRDefault="0041029E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F3F72"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Андрій ПАСІЧНИК</w:t>
      </w:r>
    </w:p>
    <w:p w:rsidR="008A0452" w:rsidRPr="00871816" w:rsidRDefault="008A045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Роман САБОДАШ</w:t>
      </w:r>
    </w:p>
    <w:p w:rsidR="000F3F72" w:rsidRPr="00871816" w:rsidRDefault="000F3F72" w:rsidP="000F3F7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BE3563" w:rsidRPr="00871816" w:rsidRDefault="00BE3563" w:rsidP="008A04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7181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Сергій ЧУМАК</w:t>
      </w:r>
    </w:p>
    <w:p w:rsidR="000F3F72" w:rsidRPr="00871816" w:rsidRDefault="000F3F72" w:rsidP="008A04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sectPr w:rsidR="000F3F72" w:rsidRPr="00871816" w:rsidSect="00CB0C3C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5BA2" w:rsidRDefault="00A45BA2" w:rsidP="005F2A2E">
      <w:pPr>
        <w:spacing w:after="0" w:line="240" w:lineRule="auto"/>
      </w:pPr>
      <w:r>
        <w:separator/>
      </w:r>
    </w:p>
  </w:endnote>
  <w:endnote w:type="continuationSeparator" w:id="0">
    <w:p w:rsidR="00A45BA2" w:rsidRDefault="00A45BA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5BA2" w:rsidRDefault="00A45BA2" w:rsidP="005F2A2E">
      <w:pPr>
        <w:spacing w:after="0" w:line="240" w:lineRule="auto"/>
      </w:pPr>
      <w:r>
        <w:separator/>
      </w:r>
    </w:p>
  </w:footnote>
  <w:footnote w:type="continuationSeparator" w:id="0">
    <w:p w:rsidR="00A45BA2" w:rsidRDefault="00A45BA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7841178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2AF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AA6421E"/>
    <w:multiLevelType w:val="multilevel"/>
    <w:tmpl w:val="848A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E551D7"/>
    <w:multiLevelType w:val="multilevel"/>
    <w:tmpl w:val="EBCA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E5228"/>
    <w:multiLevelType w:val="multilevel"/>
    <w:tmpl w:val="1B32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D7F7A94"/>
    <w:multiLevelType w:val="hybridMultilevel"/>
    <w:tmpl w:val="3FF8A276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452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0E467B"/>
    <w:rsid w:val="000F3F72"/>
    <w:rsid w:val="00137594"/>
    <w:rsid w:val="0015738E"/>
    <w:rsid w:val="0016450D"/>
    <w:rsid w:val="00165935"/>
    <w:rsid w:val="0016792C"/>
    <w:rsid w:val="00177568"/>
    <w:rsid w:val="0017765E"/>
    <w:rsid w:val="001804DC"/>
    <w:rsid w:val="00187702"/>
    <w:rsid w:val="001966D9"/>
    <w:rsid w:val="001A2F46"/>
    <w:rsid w:val="001A4774"/>
    <w:rsid w:val="001A7FC9"/>
    <w:rsid w:val="001B3CC6"/>
    <w:rsid w:val="001C61C3"/>
    <w:rsid w:val="001F04E1"/>
    <w:rsid w:val="001F7CAC"/>
    <w:rsid w:val="002059CB"/>
    <w:rsid w:val="00205C35"/>
    <w:rsid w:val="0022360A"/>
    <w:rsid w:val="002347D1"/>
    <w:rsid w:val="00252BB0"/>
    <w:rsid w:val="002805DE"/>
    <w:rsid w:val="00280A16"/>
    <w:rsid w:val="0028501F"/>
    <w:rsid w:val="00293036"/>
    <w:rsid w:val="002A4EFF"/>
    <w:rsid w:val="002A531A"/>
    <w:rsid w:val="002A62B8"/>
    <w:rsid w:val="002B1AB1"/>
    <w:rsid w:val="002B28E2"/>
    <w:rsid w:val="002C0B21"/>
    <w:rsid w:val="002C1F5A"/>
    <w:rsid w:val="002C4539"/>
    <w:rsid w:val="002C726B"/>
    <w:rsid w:val="002D25F4"/>
    <w:rsid w:val="002D26C0"/>
    <w:rsid w:val="002D6483"/>
    <w:rsid w:val="002E7764"/>
    <w:rsid w:val="002F36B3"/>
    <w:rsid w:val="002F4AE5"/>
    <w:rsid w:val="00305C16"/>
    <w:rsid w:val="00307CD3"/>
    <w:rsid w:val="00310B80"/>
    <w:rsid w:val="00320466"/>
    <w:rsid w:val="00321249"/>
    <w:rsid w:val="00337ACE"/>
    <w:rsid w:val="00343F70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72BE"/>
    <w:rsid w:val="003965F2"/>
    <w:rsid w:val="003B4898"/>
    <w:rsid w:val="003B7982"/>
    <w:rsid w:val="003C54C3"/>
    <w:rsid w:val="003D7D9A"/>
    <w:rsid w:val="003E2BC5"/>
    <w:rsid w:val="003E6DD7"/>
    <w:rsid w:val="003F1F18"/>
    <w:rsid w:val="003F28AD"/>
    <w:rsid w:val="00400D94"/>
    <w:rsid w:val="0041029E"/>
    <w:rsid w:val="004103C6"/>
    <w:rsid w:val="0041502F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3628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11E2D"/>
    <w:rsid w:val="00520C34"/>
    <w:rsid w:val="005244DB"/>
    <w:rsid w:val="005252DC"/>
    <w:rsid w:val="005263C2"/>
    <w:rsid w:val="00532C02"/>
    <w:rsid w:val="00542BFA"/>
    <w:rsid w:val="00546254"/>
    <w:rsid w:val="00546EDA"/>
    <w:rsid w:val="00554D8D"/>
    <w:rsid w:val="0056368B"/>
    <w:rsid w:val="005646D9"/>
    <w:rsid w:val="00572E5C"/>
    <w:rsid w:val="005857FD"/>
    <w:rsid w:val="005955A8"/>
    <w:rsid w:val="005979C7"/>
    <w:rsid w:val="005A310A"/>
    <w:rsid w:val="005B26ED"/>
    <w:rsid w:val="005C5307"/>
    <w:rsid w:val="005C7087"/>
    <w:rsid w:val="005D22AF"/>
    <w:rsid w:val="005F179F"/>
    <w:rsid w:val="005F1D29"/>
    <w:rsid w:val="005F255D"/>
    <w:rsid w:val="005F2A2E"/>
    <w:rsid w:val="006041BF"/>
    <w:rsid w:val="00612C75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B0007"/>
    <w:rsid w:val="006B0B98"/>
    <w:rsid w:val="006B2025"/>
    <w:rsid w:val="006B2EC4"/>
    <w:rsid w:val="006C1051"/>
    <w:rsid w:val="006D00AF"/>
    <w:rsid w:val="006D1D46"/>
    <w:rsid w:val="006D2B6B"/>
    <w:rsid w:val="006D2D24"/>
    <w:rsid w:val="006D3119"/>
    <w:rsid w:val="006D3A6C"/>
    <w:rsid w:val="006D7436"/>
    <w:rsid w:val="006E580E"/>
    <w:rsid w:val="006F1F9E"/>
    <w:rsid w:val="006F2916"/>
    <w:rsid w:val="007019F0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F70"/>
    <w:rsid w:val="00782DE5"/>
    <w:rsid w:val="00783E29"/>
    <w:rsid w:val="007903B9"/>
    <w:rsid w:val="007A61F0"/>
    <w:rsid w:val="007B3333"/>
    <w:rsid w:val="007B35F8"/>
    <w:rsid w:val="007D401C"/>
    <w:rsid w:val="007D469E"/>
    <w:rsid w:val="007D7ABF"/>
    <w:rsid w:val="007E30AA"/>
    <w:rsid w:val="007E3CB5"/>
    <w:rsid w:val="007F2BBB"/>
    <w:rsid w:val="007F6EC2"/>
    <w:rsid w:val="008120AE"/>
    <w:rsid w:val="008241A3"/>
    <w:rsid w:val="008312E5"/>
    <w:rsid w:val="0083651E"/>
    <w:rsid w:val="00836B8B"/>
    <w:rsid w:val="008377AE"/>
    <w:rsid w:val="0085072A"/>
    <w:rsid w:val="008521A6"/>
    <w:rsid w:val="008669F4"/>
    <w:rsid w:val="008710EE"/>
    <w:rsid w:val="00871816"/>
    <w:rsid w:val="00872BFF"/>
    <w:rsid w:val="00872DFE"/>
    <w:rsid w:val="008734EE"/>
    <w:rsid w:val="0087421F"/>
    <w:rsid w:val="008832D4"/>
    <w:rsid w:val="00883350"/>
    <w:rsid w:val="008862CD"/>
    <w:rsid w:val="008920A0"/>
    <w:rsid w:val="008A0452"/>
    <w:rsid w:val="008A597C"/>
    <w:rsid w:val="008B60AE"/>
    <w:rsid w:val="008B6C12"/>
    <w:rsid w:val="008B72A4"/>
    <w:rsid w:val="008B778A"/>
    <w:rsid w:val="008C625A"/>
    <w:rsid w:val="008C7B02"/>
    <w:rsid w:val="008D0133"/>
    <w:rsid w:val="008D1822"/>
    <w:rsid w:val="008D24FC"/>
    <w:rsid w:val="008D59EC"/>
    <w:rsid w:val="008E2334"/>
    <w:rsid w:val="008E4D66"/>
    <w:rsid w:val="008E73F6"/>
    <w:rsid w:val="00901E29"/>
    <w:rsid w:val="0091085D"/>
    <w:rsid w:val="00913C43"/>
    <w:rsid w:val="00923CDD"/>
    <w:rsid w:val="00931A29"/>
    <w:rsid w:val="00943F5E"/>
    <w:rsid w:val="00947F17"/>
    <w:rsid w:val="00952348"/>
    <w:rsid w:val="00953519"/>
    <w:rsid w:val="009543D5"/>
    <w:rsid w:val="009607E6"/>
    <w:rsid w:val="009730EC"/>
    <w:rsid w:val="00981118"/>
    <w:rsid w:val="009852E1"/>
    <w:rsid w:val="00987F15"/>
    <w:rsid w:val="0099195D"/>
    <w:rsid w:val="009B62A0"/>
    <w:rsid w:val="009D419F"/>
    <w:rsid w:val="009E124F"/>
    <w:rsid w:val="009E65DE"/>
    <w:rsid w:val="009E7DCF"/>
    <w:rsid w:val="009F46ED"/>
    <w:rsid w:val="00A13211"/>
    <w:rsid w:val="00A15220"/>
    <w:rsid w:val="00A27AD9"/>
    <w:rsid w:val="00A35965"/>
    <w:rsid w:val="00A35D1A"/>
    <w:rsid w:val="00A40ECB"/>
    <w:rsid w:val="00A45BA2"/>
    <w:rsid w:val="00A47F54"/>
    <w:rsid w:val="00A5229B"/>
    <w:rsid w:val="00A5445B"/>
    <w:rsid w:val="00A55252"/>
    <w:rsid w:val="00A81E36"/>
    <w:rsid w:val="00A91042"/>
    <w:rsid w:val="00A97B09"/>
    <w:rsid w:val="00AA14F4"/>
    <w:rsid w:val="00AB173A"/>
    <w:rsid w:val="00AB1D4E"/>
    <w:rsid w:val="00AD22E7"/>
    <w:rsid w:val="00AD66DA"/>
    <w:rsid w:val="00AE1BD4"/>
    <w:rsid w:val="00AE2136"/>
    <w:rsid w:val="00AF13C7"/>
    <w:rsid w:val="00AF44F9"/>
    <w:rsid w:val="00AF7F07"/>
    <w:rsid w:val="00B05A7D"/>
    <w:rsid w:val="00B05BA9"/>
    <w:rsid w:val="00B165AA"/>
    <w:rsid w:val="00B3411F"/>
    <w:rsid w:val="00B403AC"/>
    <w:rsid w:val="00B41355"/>
    <w:rsid w:val="00B53969"/>
    <w:rsid w:val="00B5424E"/>
    <w:rsid w:val="00B6188B"/>
    <w:rsid w:val="00B64442"/>
    <w:rsid w:val="00B7453C"/>
    <w:rsid w:val="00B77ADD"/>
    <w:rsid w:val="00B83B20"/>
    <w:rsid w:val="00B94D8D"/>
    <w:rsid w:val="00BB35C4"/>
    <w:rsid w:val="00BC2D05"/>
    <w:rsid w:val="00BC5773"/>
    <w:rsid w:val="00BC703A"/>
    <w:rsid w:val="00BE31B8"/>
    <w:rsid w:val="00BE3563"/>
    <w:rsid w:val="00BE3D7A"/>
    <w:rsid w:val="00BE55B3"/>
    <w:rsid w:val="00BF1122"/>
    <w:rsid w:val="00BF3607"/>
    <w:rsid w:val="00BF460E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853EF"/>
    <w:rsid w:val="00C925EF"/>
    <w:rsid w:val="00C9423E"/>
    <w:rsid w:val="00C944AB"/>
    <w:rsid w:val="00C963F5"/>
    <w:rsid w:val="00CA1801"/>
    <w:rsid w:val="00CA1C2E"/>
    <w:rsid w:val="00CB0C3C"/>
    <w:rsid w:val="00CB1D89"/>
    <w:rsid w:val="00CB29E2"/>
    <w:rsid w:val="00CC138E"/>
    <w:rsid w:val="00CC269F"/>
    <w:rsid w:val="00CC4FF7"/>
    <w:rsid w:val="00CC73AD"/>
    <w:rsid w:val="00CD2287"/>
    <w:rsid w:val="00CD32DC"/>
    <w:rsid w:val="00CD46DD"/>
    <w:rsid w:val="00CD7F61"/>
    <w:rsid w:val="00CE7064"/>
    <w:rsid w:val="00CF6FCC"/>
    <w:rsid w:val="00D00622"/>
    <w:rsid w:val="00D0631F"/>
    <w:rsid w:val="00D07209"/>
    <w:rsid w:val="00D14138"/>
    <w:rsid w:val="00D1743E"/>
    <w:rsid w:val="00D20725"/>
    <w:rsid w:val="00D22B03"/>
    <w:rsid w:val="00D27804"/>
    <w:rsid w:val="00D3229A"/>
    <w:rsid w:val="00D32FE4"/>
    <w:rsid w:val="00D378A7"/>
    <w:rsid w:val="00D462F0"/>
    <w:rsid w:val="00D56960"/>
    <w:rsid w:val="00D6785E"/>
    <w:rsid w:val="00DA706D"/>
    <w:rsid w:val="00DB2A2F"/>
    <w:rsid w:val="00DB766A"/>
    <w:rsid w:val="00DB7A2C"/>
    <w:rsid w:val="00DC709F"/>
    <w:rsid w:val="00DD2635"/>
    <w:rsid w:val="00DD5098"/>
    <w:rsid w:val="00DD7598"/>
    <w:rsid w:val="00DE2D5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7792F"/>
    <w:rsid w:val="00E82E91"/>
    <w:rsid w:val="00E830F2"/>
    <w:rsid w:val="00E87A46"/>
    <w:rsid w:val="00EA3CD7"/>
    <w:rsid w:val="00EB6EFD"/>
    <w:rsid w:val="00EC04B5"/>
    <w:rsid w:val="00EC3999"/>
    <w:rsid w:val="00EC4A9E"/>
    <w:rsid w:val="00EC7F94"/>
    <w:rsid w:val="00ED0D52"/>
    <w:rsid w:val="00ED376C"/>
    <w:rsid w:val="00EE287C"/>
    <w:rsid w:val="00EE3F49"/>
    <w:rsid w:val="00EE4834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91055"/>
    <w:rsid w:val="00F93FF3"/>
    <w:rsid w:val="00FA5A65"/>
    <w:rsid w:val="00FA5B15"/>
    <w:rsid w:val="00FB14EB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B3D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DA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F298-8A7A-45CA-9768-567E0948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4163</Words>
  <Characters>2374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2024-05-17T08:08:00Z</cp:lastPrinted>
  <dcterms:created xsi:type="dcterms:W3CDTF">2024-05-20T12:52:00Z</dcterms:created>
  <dcterms:modified xsi:type="dcterms:W3CDTF">2024-05-20T12:52:00Z</dcterms:modified>
</cp:coreProperties>
</file>