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FE" w:rsidRDefault="008411FE" w:rsidP="008411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Default="008411FE" w:rsidP="008411FE">
      <w:pPr>
        <w:spacing w:after="0" w:line="240" w:lineRule="auto"/>
        <w:rPr>
          <w:rFonts w:ascii="Times New Roman" w:eastAsia="Times New Roman" w:hAnsi="Times New Roman"/>
          <w:sz w:val="27"/>
          <w:szCs w:val="27"/>
          <w:lang w:eastAsia="ru-RU"/>
        </w:rPr>
      </w:pPr>
    </w:p>
    <w:p w:rsidR="008411FE" w:rsidRPr="00E80D22" w:rsidRDefault="008411FE" w:rsidP="00E80D22">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E80D22">
        <w:rPr>
          <w:rFonts w:ascii="Times New Roman" w:eastAsia="Times New Roman" w:hAnsi="Times New Roman"/>
          <w:bCs/>
          <w:kern w:val="2"/>
          <w:sz w:val="36"/>
          <w:szCs w:val="36"/>
          <w:lang w:eastAsia="hi-IN" w:bidi="hi-IN"/>
        </w:rPr>
        <w:t>ВИЩА КВАЛІФІКАЦІЙНА КОМІСІЯ СУДДІВ УКРАЇНИ</w:t>
      </w:r>
    </w:p>
    <w:p w:rsidR="008411FE" w:rsidRPr="00E80D22" w:rsidRDefault="008411FE" w:rsidP="00E80D22">
      <w:pPr>
        <w:spacing w:after="0" w:line="240" w:lineRule="auto"/>
        <w:jc w:val="center"/>
        <w:rPr>
          <w:rFonts w:ascii="Times New Roman" w:eastAsia="Times New Roman" w:hAnsi="Times New Roman"/>
          <w:sz w:val="26"/>
          <w:szCs w:val="26"/>
          <w:lang w:eastAsia="ru-RU"/>
        </w:rPr>
      </w:pPr>
    </w:p>
    <w:p w:rsidR="008411FE" w:rsidRPr="00E80D22" w:rsidRDefault="00935214" w:rsidP="00E80D22">
      <w:pPr>
        <w:spacing w:after="0"/>
        <w:rPr>
          <w:rFonts w:ascii="Times New Roman" w:eastAsia="Times New Roman" w:hAnsi="Times New Roman"/>
          <w:sz w:val="27"/>
          <w:szCs w:val="27"/>
          <w:lang w:eastAsia="ru-RU"/>
        </w:rPr>
      </w:pPr>
      <w:r w:rsidRPr="00935214">
        <w:rPr>
          <w:rFonts w:ascii="Times New Roman" w:eastAsia="Times New Roman" w:hAnsi="Times New Roman"/>
          <w:sz w:val="27"/>
          <w:szCs w:val="27"/>
          <w:lang w:eastAsia="ru-RU"/>
        </w:rPr>
        <w:t>02 грудня 2024 року</w:t>
      </w:r>
      <w:r w:rsidR="008411FE" w:rsidRPr="00E80D22">
        <w:rPr>
          <w:rFonts w:ascii="Times New Roman" w:eastAsia="Times New Roman" w:hAnsi="Times New Roman"/>
          <w:sz w:val="27"/>
          <w:szCs w:val="27"/>
          <w:lang w:eastAsia="ru-RU"/>
        </w:rPr>
        <w:tab/>
      </w:r>
      <w:r w:rsidR="008411FE" w:rsidRPr="00E80D22">
        <w:rPr>
          <w:rFonts w:ascii="Times New Roman" w:eastAsia="Times New Roman" w:hAnsi="Times New Roman"/>
          <w:sz w:val="27"/>
          <w:szCs w:val="27"/>
          <w:lang w:eastAsia="ru-RU"/>
        </w:rPr>
        <w:tab/>
      </w:r>
      <w:r w:rsidR="008411FE" w:rsidRPr="00E80D22">
        <w:rPr>
          <w:rFonts w:ascii="Times New Roman" w:eastAsia="Times New Roman" w:hAnsi="Times New Roman"/>
          <w:sz w:val="27"/>
          <w:szCs w:val="27"/>
          <w:lang w:eastAsia="ru-RU"/>
        </w:rPr>
        <w:tab/>
      </w:r>
      <w:r w:rsidR="008411FE" w:rsidRPr="00E80D22">
        <w:rPr>
          <w:rFonts w:ascii="Times New Roman" w:eastAsia="Times New Roman" w:hAnsi="Times New Roman"/>
          <w:sz w:val="27"/>
          <w:szCs w:val="27"/>
          <w:lang w:eastAsia="ru-RU"/>
        </w:rPr>
        <w:tab/>
      </w:r>
      <w:r w:rsidR="008411FE" w:rsidRPr="00E80D22">
        <w:rPr>
          <w:rFonts w:ascii="Times New Roman" w:eastAsia="Times New Roman" w:hAnsi="Times New Roman"/>
          <w:sz w:val="27"/>
          <w:szCs w:val="27"/>
          <w:lang w:eastAsia="ru-RU"/>
        </w:rPr>
        <w:tab/>
      </w:r>
      <w:r w:rsidR="008411FE" w:rsidRPr="00E80D22">
        <w:rPr>
          <w:rFonts w:ascii="Times New Roman" w:eastAsia="Times New Roman" w:hAnsi="Times New Roman"/>
          <w:sz w:val="27"/>
          <w:szCs w:val="27"/>
          <w:lang w:eastAsia="ru-RU"/>
        </w:rPr>
        <w:tab/>
      </w:r>
      <w:r w:rsidR="008411FE" w:rsidRPr="00E80D22">
        <w:rPr>
          <w:rFonts w:ascii="Times New Roman" w:eastAsia="Times New Roman" w:hAnsi="Times New Roman"/>
          <w:sz w:val="27"/>
          <w:szCs w:val="27"/>
          <w:lang w:eastAsia="ru-RU"/>
        </w:rPr>
        <w:tab/>
      </w:r>
      <w:r w:rsidR="008411FE" w:rsidRPr="00E80D22">
        <w:rPr>
          <w:rFonts w:ascii="Times New Roman" w:eastAsia="Times New Roman" w:hAnsi="Times New Roman"/>
          <w:sz w:val="27"/>
          <w:szCs w:val="27"/>
          <w:lang w:eastAsia="ru-RU"/>
        </w:rPr>
        <w:tab/>
      </w:r>
      <w:r w:rsidR="005800C1" w:rsidRPr="00E80D22">
        <w:rPr>
          <w:rFonts w:ascii="Times New Roman" w:eastAsia="Times New Roman" w:hAnsi="Times New Roman"/>
          <w:sz w:val="27"/>
          <w:szCs w:val="27"/>
          <w:lang w:eastAsia="ru-RU"/>
        </w:rPr>
        <w:tab/>
      </w:r>
      <w:r w:rsidR="00CA417D" w:rsidRPr="00E80D22">
        <w:rPr>
          <w:rFonts w:ascii="Times New Roman" w:eastAsia="Times New Roman" w:hAnsi="Times New Roman"/>
          <w:sz w:val="27"/>
          <w:szCs w:val="27"/>
          <w:lang w:eastAsia="ru-RU"/>
        </w:rPr>
        <w:t xml:space="preserve">    </w:t>
      </w:r>
      <w:r w:rsidR="008411FE" w:rsidRPr="00E80D22">
        <w:rPr>
          <w:rFonts w:ascii="Times New Roman" w:eastAsia="Times New Roman" w:hAnsi="Times New Roman"/>
          <w:sz w:val="27"/>
          <w:szCs w:val="27"/>
          <w:lang w:eastAsia="ru-RU"/>
        </w:rPr>
        <w:t xml:space="preserve">м. Київ </w:t>
      </w:r>
    </w:p>
    <w:p w:rsidR="008411FE" w:rsidRPr="00E80D22" w:rsidRDefault="008411FE" w:rsidP="00E80D22">
      <w:pPr>
        <w:spacing w:after="0"/>
        <w:rPr>
          <w:rFonts w:ascii="Times New Roman" w:eastAsia="Times New Roman" w:hAnsi="Times New Roman"/>
          <w:sz w:val="27"/>
          <w:szCs w:val="27"/>
          <w:lang w:eastAsia="ru-RU"/>
        </w:rPr>
      </w:pPr>
    </w:p>
    <w:p w:rsidR="008411FE" w:rsidRPr="00E80D22" w:rsidRDefault="008411FE" w:rsidP="00E80D22">
      <w:pPr>
        <w:spacing w:after="0"/>
        <w:jc w:val="center"/>
        <w:rPr>
          <w:rFonts w:ascii="Times New Roman" w:eastAsia="Times New Roman" w:hAnsi="Times New Roman"/>
          <w:b/>
          <w:bCs/>
          <w:sz w:val="27"/>
          <w:szCs w:val="27"/>
          <w:lang w:val="ru-RU" w:eastAsia="ru-RU"/>
        </w:rPr>
      </w:pPr>
      <w:r w:rsidRPr="00E80D22">
        <w:rPr>
          <w:rFonts w:ascii="Times New Roman" w:eastAsia="Times New Roman" w:hAnsi="Times New Roman"/>
          <w:bCs/>
          <w:sz w:val="27"/>
          <w:szCs w:val="27"/>
          <w:lang w:eastAsia="ru-RU"/>
        </w:rPr>
        <w:t xml:space="preserve">Р І Ш Е Н </w:t>
      </w:r>
      <w:proofErr w:type="spellStart"/>
      <w:r w:rsidRPr="00E80D22">
        <w:rPr>
          <w:rFonts w:ascii="Times New Roman" w:eastAsia="Times New Roman" w:hAnsi="Times New Roman"/>
          <w:bCs/>
          <w:sz w:val="27"/>
          <w:szCs w:val="27"/>
          <w:lang w:eastAsia="ru-RU"/>
        </w:rPr>
        <w:t>Н</w:t>
      </w:r>
      <w:proofErr w:type="spellEnd"/>
      <w:r w:rsidRPr="00E80D22">
        <w:rPr>
          <w:rFonts w:ascii="Times New Roman" w:eastAsia="Times New Roman" w:hAnsi="Times New Roman"/>
          <w:bCs/>
          <w:sz w:val="27"/>
          <w:szCs w:val="27"/>
          <w:lang w:eastAsia="ru-RU"/>
        </w:rPr>
        <w:t xml:space="preserve"> Я № </w:t>
      </w:r>
      <w:r w:rsidR="009924D8" w:rsidRPr="009924D8">
        <w:rPr>
          <w:rFonts w:ascii="Times New Roman" w:eastAsia="Times New Roman" w:hAnsi="Times New Roman"/>
          <w:bCs/>
          <w:sz w:val="27"/>
          <w:szCs w:val="27"/>
          <w:u w:val="single"/>
          <w:lang w:val="ru-RU" w:eastAsia="ru-RU"/>
        </w:rPr>
        <w:t>223/ко-24</w:t>
      </w:r>
    </w:p>
    <w:p w:rsidR="008411FE" w:rsidRPr="00E80D22" w:rsidRDefault="008411FE" w:rsidP="00E80D22">
      <w:pPr>
        <w:spacing w:after="0"/>
        <w:rPr>
          <w:rFonts w:ascii="Times New Roman" w:hAnsi="Times New Roman"/>
          <w:sz w:val="25"/>
          <w:szCs w:val="25"/>
          <w:lang w:eastAsia="uk-UA"/>
        </w:rPr>
      </w:pPr>
    </w:p>
    <w:p w:rsidR="008411FE" w:rsidRPr="00E80D22" w:rsidRDefault="008411FE" w:rsidP="00E80D22">
      <w:pPr>
        <w:spacing w:after="0" w:line="240" w:lineRule="auto"/>
        <w:rPr>
          <w:rFonts w:ascii="Times New Roman" w:eastAsia="Batang" w:hAnsi="Times New Roman"/>
          <w:sz w:val="25"/>
          <w:szCs w:val="25"/>
          <w:lang w:eastAsia="uk-UA"/>
        </w:rPr>
      </w:pPr>
      <w:r w:rsidRPr="00E80D22">
        <w:rPr>
          <w:rFonts w:ascii="Times New Roman" w:eastAsia="Batang" w:hAnsi="Times New Roman"/>
          <w:sz w:val="25"/>
          <w:szCs w:val="25"/>
          <w:lang w:eastAsia="uk-UA"/>
        </w:rPr>
        <w:t xml:space="preserve">Вища кваліфікаційна комісія суддів України </w:t>
      </w:r>
      <w:r w:rsidR="000305FF" w:rsidRPr="00E80D22">
        <w:rPr>
          <w:rFonts w:ascii="Times New Roman" w:eastAsia="Batang" w:hAnsi="Times New Roman"/>
          <w:sz w:val="25"/>
          <w:szCs w:val="25"/>
          <w:lang w:eastAsia="uk-UA"/>
        </w:rPr>
        <w:t>у пленарному складі:</w:t>
      </w:r>
    </w:p>
    <w:p w:rsidR="00727E2B" w:rsidRPr="00E80D22" w:rsidRDefault="00727E2B" w:rsidP="00E80D22">
      <w:pPr>
        <w:spacing w:after="0" w:line="240" w:lineRule="auto"/>
        <w:rPr>
          <w:rFonts w:ascii="Times New Roman" w:eastAsia="Batang" w:hAnsi="Times New Roman"/>
          <w:sz w:val="25"/>
          <w:szCs w:val="25"/>
          <w:lang w:eastAsia="uk-UA"/>
        </w:rPr>
      </w:pPr>
    </w:p>
    <w:p w:rsidR="008D54C4" w:rsidRPr="00E80D22" w:rsidRDefault="008D54C4" w:rsidP="00E80D22">
      <w:pPr>
        <w:spacing w:after="0" w:line="240" w:lineRule="auto"/>
        <w:jc w:val="both"/>
        <w:rPr>
          <w:rFonts w:ascii="Times New Roman" w:eastAsia="Batang" w:hAnsi="Times New Roman"/>
          <w:sz w:val="25"/>
          <w:szCs w:val="25"/>
          <w:lang w:eastAsia="uk-UA"/>
        </w:rPr>
      </w:pPr>
      <w:r w:rsidRPr="00E80D22">
        <w:rPr>
          <w:rFonts w:ascii="Times New Roman" w:eastAsia="Batang" w:hAnsi="Times New Roman"/>
          <w:sz w:val="25"/>
          <w:szCs w:val="25"/>
          <w:lang w:eastAsia="uk-UA"/>
        </w:rPr>
        <w:t>головуючого – Андрія ПАСІЧНИКА,</w:t>
      </w:r>
    </w:p>
    <w:p w:rsidR="008D54C4" w:rsidRPr="00E80D22" w:rsidRDefault="008D54C4" w:rsidP="00E80D22">
      <w:pPr>
        <w:spacing w:after="0" w:line="240" w:lineRule="auto"/>
        <w:jc w:val="both"/>
        <w:rPr>
          <w:rFonts w:ascii="Times New Roman" w:eastAsia="Batang" w:hAnsi="Times New Roman"/>
          <w:sz w:val="25"/>
          <w:szCs w:val="25"/>
          <w:lang w:eastAsia="uk-UA"/>
        </w:rPr>
      </w:pPr>
    </w:p>
    <w:p w:rsidR="00727E2B" w:rsidRPr="00E80D22" w:rsidRDefault="008D54C4" w:rsidP="00E80D22">
      <w:pPr>
        <w:spacing w:after="0" w:line="240" w:lineRule="auto"/>
        <w:jc w:val="both"/>
        <w:rPr>
          <w:rFonts w:ascii="Times New Roman" w:eastAsia="Batang" w:hAnsi="Times New Roman"/>
          <w:sz w:val="25"/>
          <w:szCs w:val="25"/>
          <w:lang w:eastAsia="uk-UA"/>
        </w:rPr>
      </w:pPr>
      <w:r w:rsidRPr="00E80D22">
        <w:rPr>
          <w:rFonts w:ascii="Times New Roman" w:eastAsia="Batang" w:hAnsi="Times New Roman"/>
          <w:sz w:val="25"/>
          <w:szCs w:val="25"/>
          <w:lang w:eastAsia="uk-UA"/>
        </w:rPr>
        <w:t xml:space="preserve">членів Комісії: </w:t>
      </w:r>
      <w:r w:rsidR="00935214" w:rsidRPr="00935214">
        <w:rPr>
          <w:rFonts w:ascii="Times New Roman" w:eastAsia="Batang" w:hAnsi="Times New Roman"/>
          <w:sz w:val="25"/>
          <w:szCs w:val="25"/>
          <w:lang w:eastAsia="uk-UA"/>
        </w:rPr>
        <w:t>Михайла БОГОНОСА (доповід</w:t>
      </w:r>
      <w:r w:rsidR="002F6DFF">
        <w:rPr>
          <w:rFonts w:ascii="Times New Roman" w:eastAsia="Batang" w:hAnsi="Times New Roman"/>
          <w:sz w:val="25"/>
          <w:szCs w:val="25"/>
          <w:lang w:eastAsia="uk-UA"/>
        </w:rPr>
        <w:t xml:space="preserve">ач), </w:t>
      </w:r>
      <w:r w:rsidR="00935214">
        <w:rPr>
          <w:rFonts w:ascii="Times New Roman" w:eastAsia="Batang" w:hAnsi="Times New Roman"/>
          <w:sz w:val="25"/>
          <w:szCs w:val="25"/>
          <w:lang w:eastAsia="uk-UA"/>
        </w:rPr>
        <w:t>Людмили ВОЛКОВОЇ, Віталія </w:t>
      </w:r>
      <w:r w:rsidR="00935214" w:rsidRPr="00935214">
        <w:rPr>
          <w:rFonts w:ascii="Times New Roman" w:eastAsia="Batang" w:hAnsi="Times New Roman"/>
          <w:sz w:val="25"/>
          <w:szCs w:val="25"/>
          <w:lang w:eastAsia="uk-UA"/>
        </w:rPr>
        <w:t>ГАЦЕЛЮКА, Ярослава ДУХА, Романа К</w:t>
      </w:r>
      <w:r w:rsidR="00935214">
        <w:rPr>
          <w:rFonts w:ascii="Times New Roman" w:eastAsia="Batang" w:hAnsi="Times New Roman"/>
          <w:sz w:val="25"/>
          <w:szCs w:val="25"/>
          <w:lang w:eastAsia="uk-UA"/>
        </w:rPr>
        <w:t>ИДИСЮКА, Надії КОБЕЦЬКОЇ, Олега </w:t>
      </w:r>
      <w:r w:rsidR="00935214" w:rsidRPr="00935214">
        <w:rPr>
          <w:rFonts w:ascii="Times New Roman" w:eastAsia="Batang" w:hAnsi="Times New Roman"/>
          <w:sz w:val="25"/>
          <w:szCs w:val="25"/>
          <w:lang w:eastAsia="uk-UA"/>
        </w:rPr>
        <w:t>КОЛІУША, Володимира ЛУГАНСЬ</w:t>
      </w:r>
      <w:r w:rsidR="00935214">
        <w:rPr>
          <w:rFonts w:ascii="Times New Roman" w:eastAsia="Batang" w:hAnsi="Times New Roman"/>
          <w:sz w:val="25"/>
          <w:szCs w:val="25"/>
          <w:lang w:eastAsia="uk-UA"/>
        </w:rPr>
        <w:t>КОГО, Руслана МЕЛЬНИКА, Олексія </w:t>
      </w:r>
      <w:r w:rsidR="00935214" w:rsidRPr="00935214">
        <w:rPr>
          <w:rFonts w:ascii="Times New Roman" w:eastAsia="Batang" w:hAnsi="Times New Roman"/>
          <w:sz w:val="25"/>
          <w:szCs w:val="25"/>
          <w:lang w:eastAsia="uk-UA"/>
        </w:rPr>
        <w:t>ОМЕЛЬЯНА, Романа САБОДАША, Руслана СИДОРОВИЧА, Сергія ЧУМАКА, Галини ШЕВЧУК</w:t>
      </w:r>
      <w:r w:rsidR="00A819ED" w:rsidRPr="00E80D22">
        <w:rPr>
          <w:rFonts w:ascii="Times New Roman" w:eastAsia="Batang" w:hAnsi="Times New Roman"/>
          <w:sz w:val="25"/>
          <w:szCs w:val="25"/>
          <w:lang w:eastAsia="uk-UA"/>
        </w:rPr>
        <w:t>,</w:t>
      </w:r>
    </w:p>
    <w:p w:rsidR="008D54C4" w:rsidRPr="00E80D22" w:rsidRDefault="008D54C4" w:rsidP="00E80D22">
      <w:pPr>
        <w:spacing w:after="0" w:line="240" w:lineRule="auto"/>
        <w:rPr>
          <w:rFonts w:ascii="Times New Roman" w:eastAsia="Batang" w:hAnsi="Times New Roman"/>
          <w:sz w:val="25"/>
          <w:szCs w:val="25"/>
          <w:lang w:eastAsia="uk-UA"/>
        </w:rPr>
      </w:pPr>
    </w:p>
    <w:p w:rsidR="00935214" w:rsidRPr="00935214" w:rsidRDefault="00935214" w:rsidP="00E80D22">
      <w:pPr>
        <w:shd w:val="clear" w:color="auto" w:fill="FFFFFF"/>
        <w:spacing w:after="0" w:line="240" w:lineRule="auto"/>
        <w:jc w:val="both"/>
        <w:rPr>
          <w:rFonts w:ascii="Times New Roman" w:eastAsia="Batang" w:hAnsi="Times New Roman"/>
          <w:sz w:val="25"/>
          <w:szCs w:val="25"/>
          <w:lang w:eastAsia="uk-UA"/>
        </w:rPr>
      </w:pPr>
      <w:r w:rsidRPr="00935214">
        <w:rPr>
          <w:rFonts w:ascii="Times New Roman" w:eastAsia="Batang" w:hAnsi="Times New Roman"/>
          <w:sz w:val="25"/>
          <w:szCs w:val="25"/>
          <w:lang w:eastAsia="uk-UA"/>
        </w:rPr>
        <w:t>розглянувши питання щодо відповідності судді Яворівського районного суду Львівської області Кондратьєвої Наталії Анатоліївни займаній посаді</w:t>
      </w:r>
      <w:r>
        <w:rPr>
          <w:rFonts w:ascii="Times New Roman" w:eastAsia="Batang" w:hAnsi="Times New Roman"/>
          <w:sz w:val="25"/>
          <w:szCs w:val="25"/>
          <w:lang w:eastAsia="uk-UA"/>
        </w:rPr>
        <w:t>,</w:t>
      </w:r>
    </w:p>
    <w:p w:rsidR="004B5720" w:rsidRPr="00E80D22" w:rsidRDefault="004B5720" w:rsidP="00E80D22">
      <w:pPr>
        <w:shd w:val="clear" w:color="auto" w:fill="FFFFFF"/>
        <w:spacing w:before="100" w:beforeAutospacing="1" w:after="100" w:afterAutospacing="1" w:line="240" w:lineRule="auto"/>
        <w:jc w:val="center"/>
        <w:rPr>
          <w:rFonts w:ascii="Times New Roman" w:hAnsi="Times New Roman"/>
          <w:color w:val="000000" w:themeColor="text1"/>
          <w:sz w:val="25"/>
          <w:szCs w:val="25"/>
          <w:lang w:eastAsia="uk-UA"/>
        </w:rPr>
      </w:pPr>
      <w:r w:rsidRPr="00E80D22">
        <w:rPr>
          <w:rFonts w:ascii="Times New Roman" w:hAnsi="Times New Roman"/>
          <w:color w:val="000000" w:themeColor="text1"/>
          <w:sz w:val="25"/>
          <w:szCs w:val="25"/>
          <w:lang w:eastAsia="uk-UA"/>
        </w:rPr>
        <w:t>встановила:</w:t>
      </w:r>
    </w:p>
    <w:p w:rsidR="00F26052" w:rsidRPr="00E80D22" w:rsidRDefault="00D94ADE" w:rsidP="00E80D22">
      <w:pPr>
        <w:shd w:val="clear" w:color="auto" w:fill="FFFFFF"/>
        <w:spacing w:after="0" w:line="240" w:lineRule="auto"/>
        <w:ind w:firstLine="708"/>
        <w:jc w:val="both"/>
        <w:rPr>
          <w:rFonts w:ascii="Times New Roman" w:hAnsi="Times New Roman"/>
          <w:b/>
          <w:sz w:val="25"/>
          <w:szCs w:val="25"/>
          <w:shd w:val="clear" w:color="auto" w:fill="FFFFFF"/>
        </w:rPr>
      </w:pPr>
      <w:r w:rsidRPr="00E80D22">
        <w:rPr>
          <w:rFonts w:ascii="Times New Roman" w:hAnsi="Times New Roman"/>
          <w:b/>
          <w:sz w:val="25"/>
          <w:szCs w:val="25"/>
          <w:shd w:val="clear" w:color="auto" w:fill="FFFFFF"/>
        </w:rPr>
        <w:t>Стислий виклад інформації про кар’єру та кваліфікаційне оцінювання судді.</w:t>
      </w:r>
    </w:p>
    <w:p w:rsidR="00A52D8C" w:rsidRPr="00A52D8C" w:rsidRDefault="00A52D8C" w:rsidP="00A52D8C">
      <w:pPr>
        <w:pStyle w:val="a5"/>
        <w:ind w:firstLine="709"/>
        <w:jc w:val="both"/>
        <w:rPr>
          <w:rFonts w:ascii="Times New Roman" w:hAnsi="Times New Roman" w:cs="Times New Roman"/>
          <w:sz w:val="25"/>
          <w:szCs w:val="25"/>
        </w:rPr>
      </w:pPr>
      <w:r w:rsidRPr="00A52D8C">
        <w:rPr>
          <w:rFonts w:ascii="Times New Roman" w:hAnsi="Times New Roman" w:cs="Times New Roman"/>
          <w:sz w:val="25"/>
          <w:szCs w:val="25"/>
        </w:rPr>
        <w:t>Указом Президента України від 24 вересня 2016 року № 410/2016 Кондратьєву Н.А. призначено на посаду судді Яворівського районного суду Львівської області строком на п’ять років.</w:t>
      </w:r>
    </w:p>
    <w:p w:rsidR="00A52D8C" w:rsidRPr="00A52D8C" w:rsidRDefault="00A52D8C" w:rsidP="00A52D8C">
      <w:pPr>
        <w:pStyle w:val="a5"/>
        <w:ind w:firstLine="709"/>
        <w:jc w:val="both"/>
        <w:rPr>
          <w:rFonts w:ascii="Times New Roman" w:hAnsi="Times New Roman" w:cs="Times New Roman"/>
          <w:sz w:val="25"/>
          <w:szCs w:val="25"/>
        </w:rPr>
      </w:pPr>
      <w:r w:rsidRPr="00A52D8C">
        <w:rPr>
          <w:rFonts w:ascii="Times New Roman" w:hAnsi="Times New Roman" w:cs="Times New Roman"/>
          <w:sz w:val="25"/>
          <w:szCs w:val="25"/>
        </w:rPr>
        <w:t>Рішенням Вищої кваліфікаційної комісії суддів України від 07 червня 2018 року №</w:t>
      </w:r>
      <w:r w:rsidR="00A113BE">
        <w:rPr>
          <w:rFonts w:ascii="Times New Roman" w:hAnsi="Times New Roman" w:cs="Times New Roman"/>
          <w:sz w:val="25"/>
          <w:szCs w:val="25"/>
        </w:rPr>
        <w:t> </w:t>
      </w:r>
      <w:r w:rsidRPr="00A52D8C">
        <w:rPr>
          <w:rFonts w:ascii="Times New Roman" w:hAnsi="Times New Roman" w:cs="Times New Roman"/>
          <w:sz w:val="25"/>
          <w:szCs w:val="25"/>
        </w:rPr>
        <w:t>133/зп-18 призначено кваліфікаційне оцінювання суддів місцевих та апеляційних судів на відповідність займаній посаді.</w:t>
      </w:r>
    </w:p>
    <w:p w:rsidR="00A52D8C" w:rsidRPr="00A52D8C" w:rsidRDefault="00A52D8C" w:rsidP="00A52D8C">
      <w:pPr>
        <w:pStyle w:val="a5"/>
        <w:ind w:firstLine="709"/>
        <w:jc w:val="both"/>
        <w:rPr>
          <w:rFonts w:ascii="Times New Roman" w:hAnsi="Times New Roman" w:cs="Times New Roman"/>
          <w:sz w:val="25"/>
          <w:szCs w:val="25"/>
        </w:rPr>
      </w:pPr>
      <w:r w:rsidRPr="00A52D8C">
        <w:rPr>
          <w:rFonts w:ascii="Times New Roman" w:hAnsi="Times New Roman" w:cs="Times New Roman"/>
          <w:sz w:val="25"/>
          <w:szCs w:val="25"/>
        </w:rPr>
        <w:t>Цим рішенням 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Кондратьєвої Н.А.</w:t>
      </w:r>
    </w:p>
    <w:p w:rsidR="00A52D8C" w:rsidRPr="00A52D8C" w:rsidRDefault="00A52D8C" w:rsidP="00A52D8C">
      <w:pPr>
        <w:pStyle w:val="a5"/>
        <w:ind w:firstLine="709"/>
        <w:jc w:val="both"/>
        <w:rPr>
          <w:rFonts w:ascii="Times New Roman" w:hAnsi="Times New Roman" w:cs="Times New Roman"/>
          <w:sz w:val="25"/>
          <w:szCs w:val="25"/>
        </w:rPr>
      </w:pPr>
      <w:r w:rsidRPr="00A52D8C">
        <w:rPr>
          <w:rFonts w:ascii="Times New Roman" w:hAnsi="Times New Roman" w:cs="Times New Roman"/>
          <w:sz w:val="25"/>
          <w:szCs w:val="25"/>
        </w:rPr>
        <w:t>Рішенням Комісії від 13 березня 2019 року № 32/зп-19 визначено результати першого етапу «Іспит» кваліфікаційного оцінювання суддів на відповідність займаній посаді. Відповідно до цього рішення суддю допущено до другого етапу кваліфікаційного оцінювання на відповідність займаній посаді – «Дослідження досьє та проведення співбесіди».</w:t>
      </w:r>
    </w:p>
    <w:p w:rsidR="00A52D8C" w:rsidRDefault="00A52D8C" w:rsidP="00A52D8C">
      <w:pPr>
        <w:pStyle w:val="a5"/>
        <w:ind w:firstLine="709"/>
        <w:jc w:val="both"/>
        <w:rPr>
          <w:rFonts w:ascii="Times New Roman" w:hAnsi="Times New Roman" w:cs="Times New Roman"/>
          <w:sz w:val="25"/>
          <w:szCs w:val="25"/>
        </w:rPr>
      </w:pPr>
      <w:r w:rsidRPr="00A52D8C">
        <w:rPr>
          <w:rFonts w:ascii="Times New Roman" w:hAnsi="Times New Roman" w:cs="Times New Roman"/>
          <w:sz w:val="25"/>
          <w:szCs w:val="25"/>
        </w:rPr>
        <w:t>Кондратьєва Н.А.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490083" w:rsidRDefault="0069005D" w:rsidP="00490083">
      <w:pPr>
        <w:pStyle w:val="a5"/>
        <w:ind w:firstLine="709"/>
        <w:jc w:val="both"/>
        <w:rPr>
          <w:rFonts w:ascii="Times New Roman" w:hAnsi="Times New Roman" w:cs="Times New Roman"/>
          <w:sz w:val="25"/>
          <w:szCs w:val="25"/>
        </w:rPr>
      </w:pPr>
      <w:r w:rsidRPr="00E80D22">
        <w:rPr>
          <w:rFonts w:ascii="Times New Roman" w:hAnsi="Times New Roman" w:cs="Times New Roman"/>
          <w:sz w:val="25"/>
          <w:szCs w:val="25"/>
        </w:rPr>
        <w:t xml:space="preserve">З метою вирішення питання </w:t>
      </w:r>
      <w:r w:rsidR="00E80D22" w:rsidRPr="00951049">
        <w:rPr>
          <w:rFonts w:ascii="Times New Roman" w:hAnsi="Times New Roman" w:cs="Times New Roman"/>
          <w:sz w:val="25"/>
          <w:szCs w:val="25"/>
        </w:rPr>
        <w:t>щодо</w:t>
      </w:r>
      <w:r w:rsidR="004D6436" w:rsidRPr="00E80D22">
        <w:rPr>
          <w:rFonts w:ascii="Times New Roman" w:hAnsi="Times New Roman" w:cs="Times New Roman"/>
          <w:sz w:val="25"/>
          <w:szCs w:val="25"/>
        </w:rPr>
        <w:t xml:space="preserve"> </w:t>
      </w:r>
      <w:r w:rsidRPr="00E80D22">
        <w:rPr>
          <w:rFonts w:ascii="Times New Roman" w:hAnsi="Times New Roman" w:cs="Times New Roman"/>
          <w:sz w:val="25"/>
          <w:szCs w:val="25"/>
        </w:rPr>
        <w:t xml:space="preserve">продовження процедур оцінювання </w:t>
      </w:r>
      <w:r w:rsidR="00E80D22">
        <w:rPr>
          <w:rFonts w:ascii="Times New Roman" w:hAnsi="Times New Roman" w:cs="Times New Roman"/>
          <w:sz w:val="25"/>
          <w:szCs w:val="25"/>
        </w:rPr>
        <w:t>відповідно до рішення</w:t>
      </w:r>
      <w:r w:rsidRPr="00E80D22">
        <w:rPr>
          <w:rFonts w:ascii="Times New Roman" w:hAnsi="Times New Roman" w:cs="Times New Roman"/>
          <w:sz w:val="25"/>
          <w:szCs w:val="25"/>
        </w:rPr>
        <w:t xml:space="preserve"> Комісії від 20 липня 2023 року № 34/зп-23 здійснено повторний автоматизований розподіл справ між членами Вищої кваліфікаційної комісії суддів України.</w:t>
      </w:r>
    </w:p>
    <w:p w:rsidR="00490083" w:rsidRPr="00490083" w:rsidRDefault="00490083" w:rsidP="00490083">
      <w:pPr>
        <w:pStyle w:val="a5"/>
        <w:ind w:firstLine="709"/>
        <w:jc w:val="both"/>
        <w:rPr>
          <w:rFonts w:ascii="Times New Roman" w:hAnsi="Times New Roman" w:cs="Times New Roman"/>
          <w:sz w:val="25"/>
          <w:szCs w:val="25"/>
        </w:rPr>
      </w:pPr>
      <w:r w:rsidRPr="00490083">
        <w:rPr>
          <w:rFonts w:ascii="Times New Roman" w:eastAsia="Times New Roman" w:hAnsi="Times New Roman" w:cs="Times New Roman"/>
          <w:sz w:val="25"/>
          <w:szCs w:val="25"/>
          <w:lang w:eastAsia="uk-UA"/>
        </w:rPr>
        <w:lastRenderedPageBreak/>
        <w:t>Згідно з протоколом повторного розподілу між членами Комісії від 25 липня</w:t>
      </w:r>
      <w:r w:rsidR="00C75FBC">
        <w:rPr>
          <w:rFonts w:ascii="Times New Roman" w:eastAsia="Times New Roman" w:hAnsi="Times New Roman" w:cs="Times New Roman"/>
          <w:sz w:val="25"/>
          <w:szCs w:val="25"/>
          <w:lang w:val="en-US" w:eastAsia="uk-UA"/>
        </w:rPr>
        <w:t xml:space="preserve"> </w:t>
      </w:r>
      <w:r w:rsidRPr="00490083">
        <w:rPr>
          <w:rFonts w:ascii="Times New Roman" w:eastAsia="Times New Roman" w:hAnsi="Times New Roman" w:cs="Times New Roman"/>
          <w:sz w:val="25"/>
          <w:szCs w:val="25"/>
          <w:lang w:eastAsia="uk-UA"/>
        </w:rPr>
        <w:t>2023 року доповідачем у справі визначено члена Комісії Богоноса М.Б.</w:t>
      </w:r>
    </w:p>
    <w:p w:rsidR="0069005D" w:rsidRPr="00A52D8C" w:rsidRDefault="00490083" w:rsidP="00490083">
      <w:pPr>
        <w:pStyle w:val="a5"/>
        <w:ind w:firstLine="709"/>
        <w:jc w:val="both"/>
        <w:rPr>
          <w:rFonts w:ascii="Times New Roman" w:hAnsi="Times New Roman" w:cs="Times New Roman"/>
          <w:sz w:val="25"/>
          <w:szCs w:val="25"/>
        </w:rPr>
      </w:pPr>
      <w:r w:rsidRPr="00490083">
        <w:rPr>
          <w:rFonts w:ascii="Times New Roman" w:eastAsia="Times New Roman" w:hAnsi="Times New Roman" w:cs="Times New Roman"/>
          <w:sz w:val="25"/>
          <w:szCs w:val="25"/>
          <w:lang w:eastAsia="uk-UA"/>
        </w:rPr>
        <w:t>На підставі викладеного вище процедуру кваліфікаційного оцінювання судді Кондратьєвої Н.А. продовжено з етапу «Дослідження досьє та проведення співбесіди».</w:t>
      </w:r>
    </w:p>
    <w:p w:rsidR="00490083" w:rsidRPr="00490083" w:rsidRDefault="00490083" w:rsidP="00490083">
      <w:pPr>
        <w:pStyle w:val="a5"/>
        <w:ind w:firstLine="709"/>
        <w:jc w:val="both"/>
        <w:rPr>
          <w:rFonts w:ascii="Times New Roman" w:hAnsi="Times New Roman" w:cs="Times New Roman"/>
          <w:sz w:val="25"/>
          <w:szCs w:val="25"/>
          <w:shd w:val="clear" w:color="auto" w:fill="FFFFFF"/>
        </w:rPr>
      </w:pPr>
      <w:r w:rsidRPr="00490083">
        <w:rPr>
          <w:rFonts w:ascii="Times New Roman" w:hAnsi="Times New Roman" w:cs="Times New Roman"/>
          <w:sz w:val="25"/>
          <w:szCs w:val="25"/>
          <w:shd w:val="clear" w:color="auto" w:fill="FFFFFF"/>
        </w:rPr>
        <w:t xml:space="preserve">З метою оновлення даних, що містяться в суддівському досьє, Комісією в межах повноважень надіслано запити до таких органів державної влади: Національного агентства з питань запобігання корупції, Державної прикордонної служби України, Національної поліції України, Офісу Генерального прокурора, Львівського обласного </w:t>
      </w:r>
      <w:r w:rsidR="005459A1">
        <w:rPr>
          <w:rFonts w:ascii="Times New Roman" w:hAnsi="Times New Roman" w:cs="Times New Roman"/>
          <w:sz w:val="25"/>
          <w:szCs w:val="25"/>
          <w:shd w:val="clear" w:color="auto" w:fill="FFFFFF"/>
        </w:rPr>
        <w:t>т</w:t>
      </w:r>
      <w:r w:rsidR="005459A1" w:rsidRPr="005459A1">
        <w:rPr>
          <w:rFonts w:ascii="Times New Roman" w:hAnsi="Times New Roman" w:cs="Times New Roman"/>
          <w:sz w:val="25"/>
          <w:szCs w:val="25"/>
          <w:shd w:val="clear" w:color="auto" w:fill="FFFFFF"/>
        </w:rPr>
        <w:t>ериторіальн</w:t>
      </w:r>
      <w:r w:rsidR="005459A1">
        <w:rPr>
          <w:rFonts w:ascii="Times New Roman" w:hAnsi="Times New Roman" w:cs="Times New Roman"/>
          <w:sz w:val="25"/>
          <w:szCs w:val="25"/>
          <w:shd w:val="clear" w:color="auto" w:fill="FFFFFF"/>
        </w:rPr>
        <w:t>ого</w:t>
      </w:r>
      <w:r w:rsidR="005459A1" w:rsidRPr="005459A1">
        <w:rPr>
          <w:rFonts w:ascii="Times New Roman" w:hAnsi="Times New Roman" w:cs="Times New Roman"/>
          <w:sz w:val="25"/>
          <w:szCs w:val="25"/>
          <w:shd w:val="clear" w:color="auto" w:fill="FFFFFF"/>
        </w:rPr>
        <w:t xml:space="preserve"> центр</w:t>
      </w:r>
      <w:r w:rsidR="005459A1">
        <w:rPr>
          <w:rFonts w:ascii="Times New Roman" w:hAnsi="Times New Roman" w:cs="Times New Roman"/>
          <w:sz w:val="25"/>
          <w:szCs w:val="25"/>
          <w:shd w:val="clear" w:color="auto" w:fill="FFFFFF"/>
        </w:rPr>
        <w:t>у</w:t>
      </w:r>
      <w:r w:rsidR="005459A1" w:rsidRPr="005459A1">
        <w:rPr>
          <w:rFonts w:ascii="Times New Roman" w:hAnsi="Times New Roman" w:cs="Times New Roman"/>
          <w:sz w:val="25"/>
          <w:szCs w:val="25"/>
          <w:shd w:val="clear" w:color="auto" w:fill="FFFFFF"/>
        </w:rPr>
        <w:t xml:space="preserve"> комплектування та соціальної підтримки</w:t>
      </w:r>
      <w:r w:rsidRPr="00490083">
        <w:rPr>
          <w:rFonts w:ascii="Times New Roman" w:hAnsi="Times New Roman" w:cs="Times New Roman"/>
          <w:sz w:val="25"/>
          <w:szCs w:val="25"/>
          <w:shd w:val="clear" w:color="auto" w:fill="FFFFFF"/>
        </w:rPr>
        <w:t>, Державної податкової служби України, Служби безпеки України.</w:t>
      </w:r>
    </w:p>
    <w:p w:rsidR="00490083" w:rsidRPr="00490083" w:rsidRDefault="00490083" w:rsidP="00490083">
      <w:pPr>
        <w:pStyle w:val="a5"/>
        <w:ind w:firstLine="709"/>
        <w:jc w:val="both"/>
        <w:rPr>
          <w:rFonts w:ascii="Times New Roman" w:hAnsi="Times New Roman" w:cs="Times New Roman"/>
          <w:sz w:val="25"/>
          <w:szCs w:val="25"/>
          <w:shd w:val="clear" w:color="auto" w:fill="FFFFFF"/>
        </w:rPr>
      </w:pPr>
      <w:r w:rsidRPr="00490083">
        <w:rPr>
          <w:rFonts w:ascii="Times New Roman" w:hAnsi="Times New Roman" w:cs="Times New Roman"/>
          <w:sz w:val="25"/>
          <w:szCs w:val="25"/>
          <w:shd w:val="clear" w:color="auto" w:fill="FFFFFF"/>
        </w:rPr>
        <w:t>У відповідь на запити отримано інформацію стосовно судді, яку долучено до матеріалів досьє.</w:t>
      </w:r>
    </w:p>
    <w:p w:rsidR="00490083" w:rsidRPr="00490083" w:rsidRDefault="00490083" w:rsidP="00490083">
      <w:pPr>
        <w:pStyle w:val="a5"/>
        <w:ind w:firstLine="709"/>
        <w:jc w:val="both"/>
        <w:rPr>
          <w:rFonts w:ascii="Times New Roman" w:hAnsi="Times New Roman" w:cs="Times New Roman"/>
          <w:sz w:val="25"/>
          <w:szCs w:val="25"/>
          <w:shd w:val="clear" w:color="auto" w:fill="FFFFFF"/>
        </w:rPr>
      </w:pPr>
      <w:r w:rsidRPr="00490083">
        <w:rPr>
          <w:rFonts w:ascii="Times New Roman" w:hAnsi="Times New Roman" w:cs="Times New Roman"/>
          <w:sz w:val="25"/>
          <w:szCs w:val="25"/>
          <w:shd w:val="clear" w:color="auto" w:fill="FFFFFF"/>
        </w:rPr>
        <w:t xml:space="preserve">На адресу Комісії </w:t>
      </w:r>
      <w:r w:rsidRPr="00F070BA">
        <w:rPr>
          <w:rFonts w:ascii="Times New Roman" w:hAnsi="Times New Roman" w:cs="Times New Roman"/>
          <w:sz w:val="25"/>
          <w:szCs w:val="25"/>
          <w:shd w:val="clear" w:color="auto" w:fill="FFFFFF"/>
        </w:rPr>
        <w:t xml:space="preserve">16 вересня 2024 року </w:t>
      </w:r>
      <w:r w:rsidRPr="00490083">
        <w:rPr>
          <w:rFonts w:ascii="Times New Roman" w:hAnsi="Times New Roman" w:cs="Times New Roman"/>
          <w:sz w:val="25"/>
          <w:szCs w:val="25"/>
          <w:shd w:val="clear" w:color="auto" w:fill="FFFFFF"/>
        </w:rPr>
        <w:t>надійшов висновок Громадської ради доброчесності (далі – ГРД) про невідповідність судді Кондратьєвої Н.А. критеріям доброчесності та професійної етики.</w:t>
      </w:r>
    </w:p>
    <w:p w:rsidR="00490083" w:rsidRDefault="00490083" w:rsidP="00490083">
      <w:pPr>
        <w:pStyle w:val="a5"/>
        <w:ind w:firstLine="709"/>
        <w:jc w:val="both"/>
        <w:rPr>
          <w:rFonts w:ascii="Times New Roman" w:hAnsi="Times New Roman" w:cs="Times New Roman"/>
          <w:sz w:val="25"/>
          <w:szCs w:val="25"/>
          <w:shd w:val="clear" w:color="auto" w:fill="FFFFFF"/>
        </w:rPr>
      </w:pPr>
      <w:r w:rsidRPr="00490083">
        <w:rPr>
          <w:rFonts w:ascii="Times New Roman" w:hAnsi="Times New Roman" w:cs="Times New Roman"/>
          <w:sz w:val="25"/>
          <w:szCs w:val="25"/>
          <w:shd w:val="clear" w:color="auto" w:fill="FFFFFF"/>
        </w:rPr>
        <w:t>Під час співбесіди суддя зазначила, що не має наміру надавати додаткові письмові пояснення. Повідомила, що необхідні пояснення надала на звернення ГРД. Зміст цих по</w:t>
      </w:r>
      <w:r>
        <w:rPr>
          <w:rFonts w:ascii="Times New Roman" w:hAnsi="Times New Roman" w:cs="Times New Roman"/>
          <w:sz w:val="25"/>
          <w:szCs w:val="25"/>
          <w:shd w:val="clear" w:color="auto" w:fill="FFFFFF"/>
        </w:rPr>
        <w:t>яснень відображено у висновку.</w:t>
      </w:r>
    </w:p>
    <w:p w:rsidR="00EC1B9D" w:rsidRPr="00F36270" w:rsidRDefault="00B74CA4" w:rsidP="00EC1B9D">
      <w:pPr>
        <w:pStyle w:val="a5"/>
        <w:ind w:firstLine="709"/>
        <w:jc w:val="both"/>
        <w:rPr>
          <w:rFonts w:ascii="Times New Roman" w:hAnsi="Times New Roman" w:cs="Times New Roman"/>
          <w:sz w:val="25"/>
          <w:szCs w:val="25"/>
        </w:rPr>
      </w:pPr>
      <w:r w:rsidRPr="00E80D22">
        <w:rPr>
          <w:rFonts w:ascii="Times New Roman" w:hAnsi="Times New Roman" w:cs="Times New Roman"/>
          <w:sz w:val="25"/>
          <w:szCs w:val="25"/>
        </w:rPr>
        <w:t xml:space="preserve">Рішенням Комісії у складі колегії від </w:t>
      </w:r>
      <w:r w:rsidR="00490083">
        <w:rPr>
          <w:rFonts w:ascii="Times New Roman" w:hAnsi="Times New Roman" w:cs="Times New Roman"/>
          <w:sz w:val="25"/>
          <w:szCs w:val="25"/>
        </w:rPr>
        <w:t>17</w:t>
      </w:r>
      <w:r w:rsidRPr="00E80D22">
        <w:rPr>
          <w:rFonts w:ascii="Times New Roman" w:hAnsi="Times New Roman" w:cs="Times New Roman"/>
          <w:sz w:val="25"/>
          <w:szCs w:val="25"/>
        </w:rPr>
        <w:t xml:space="preserve"> </w:t>
      </w:r>
      <w:r w:rsidR="00490083">
        <w:rPr>
          <w:rFonts w:ascii="Times New Roman" w:hAnsi="Times New Roman" w:cs="Times New Roman"/>
          <w:sz w:val="25"/>
          <w:szCs w:val="25"/>
        </w:rPr>
        <w:t>верес</w:t>
      </w:r>
      <w:r w:rsidRPr="00E80D22">
        <w:rPr>
          <w:rFonts w:ascii="Times New Roman" w:hAnsi="Times New Roman" w:cs="Times New Roman"/>
          <w:sz w:val="25"/>
          <w:szCs w:val="25"/>
        </w:rPr>
        <w:t>ня 2024 року № 1</w:t>
      </w:r>
      <w:r w:rsidR="00490083">
        <w:rPr>
          <w:rFonts w:ascii="Times New Roman" w:hAnsi="Times New Roman" w:cs="Times New Roman"/>
          <w:sz w:val="25"/>
          <w:szCs w:val="25"/>
        </w:rPr>
        <w:t>50</w:t>
      </w:r>
      <w:r w:rsidRPr="00E80D22">
        <w:rPr>
          <w:rFonts w:ascii="Times New Roman" w:hAnsi="Times New Roman" w:cs="Times New Roman"/>
          <w:sz w:val="25"/>
          <w:szCs w:val="25"/>
        </w:rPr>
        <w:t xml:space="preserve">/ко-24 </w:t>
      </w:r>
      <w:r w:rsidR="00EC1B9D">
        <w:rPr>
          <w:rFonts w:ascii="Times New Roman" w:hAnsi="Times New Roman" w:cs="Times New Roman"/>
          <w:sz w:val="25"/>
          <w:szCs w:val="25"/>
        </w:rPr>
        <w:t>в</w:t>
      </w:r>
      <w:r w:rsidR="00EC1B9D" w:rsidRPr="00EC1B9D">
        <w:rPr>
          <w:rFonts w:ascii="Times New Roman" w:hAnsi="Times New Roman" w:cs="Times New Roman"/>
          <w:sz w:val="25"/>
          <w:szCs w:val="25"/>
        </w:rPr>
        <w:t>изнач</w:t>
      </w:r>
      <w:r w:rsidR="00EC1B9D">
        <w:rPr>
          <w:rFonts w:ascii="Times New Roman" w:hAnsi="Times New Roman" w:cs="Times New Roman"/>
          <w:sz w:val="25"/>
          <w:szCs w:val="25"/>
        </w:rPr>
        <w:t>ено</w:t>
      </w:r>
      <w:r w:rsidR="00EC1B9D" w:rsidRPr="00EC1B9D">
        <w:rPr>
          <w:rFonts w:ascii="Times New Roman" w:hAnsi="Times New Roman" w:cs="Times New Roman"/>
          <w:sz w:val="25"/>
          <w:szCs w:val="25"/>
        </w:rPr>
        <w:t xml:space="preserve">, що суддя </w:t>
      </w:r>
      <w:r w:rsidR="00EC1B9D" w:rsidRPr="00F36270">
        <w:rPr>
          <w:rFonts w:ascii="Times New Roman" w:hAnsi="Times New Roman" w:cs="Times New Roman"/>
          <w:sz w:val="25"/>
          <w:szCs w:val="25"/>
        </w:rPr>
        <w:t>Яворівського районного суду Львівської області Кондратьєва Н.А. за результатами кваліфікаційного оцінювання на відповідність займаній посаді набрала 784,75 бала.</w:t>
      </w:r>
    </w:p>
    <w:p w:rsidR="00946B5E" w:rsidRPr="00F36270" w:rsidRDefault="00946B5E" w:rsidP="00D23C67">
      <w:pPr>
        <w:pStyle w:val="a5"/>
        <w:ind w:firstLine="709"/>
        <w:jc w:val="both"/>
        <w:rPr>
          <w:rFonts w:ascii="Times New Roman" w:hAnsi="Times New Roman" w:cs="Times New Roman"/>
          <w:sz w:val="25"/>
          <w:szCs w:val="25"/>
        </w:rPr>
      </w:pPr>
      <w:r w:rsidRPr="00F36270">
        <w:rPr>
          <w:rFonts w:ascii="Times New Roman" w:hAnsi="Times New Roman" w:cs="Times New Roman"/>
          <w:sz w:val="25"/>
          <w:szCs w:val="25"/>
        </w:rPr>
        <w:t xml:space="preserve">Внесено на розгляд </w:t>
      </w:r>
      <w:r w:rsidR="00F070BA" w:rsidRPr="00F36270">
        <w:rPr>
          <w:rFonts w:ascii="Times New Roman" w:hAnsi="Times New Roman" w:cs="Times New Roman"/>
          <w:sz w:val="25"/>
          <w:szCs w:val="25"/>
        </w:rPr>
        <w:t>Комісії</w:t>
      </w:r>
      <w:r w:rsidRPr="00F36270">
        <w:rPr>
          <w:rFonts w:ascii="Times New Roman" w:hAnsi="Times New Roman" w:cs="Times New Roman"/>
          <w:sz w:val="25"/>
          <w:szCs w:val="25"/>
        </w:rPr>
        <w:t xml:space="preserve"> у пленарному складі питання щодо відповідності судді Яворівського районного суду Львівської області Кондратьєвої Н.А. займаній посаді.</w:t>
      </w:r>
    </w:p>
    <w:p w:rsidR="00D23C67" w:rsidRDefault="00EC1B9D" w:rsidP="00D23C67">
      <w:pPr>
        <w:pStyle w:val="a5"/>
        <w:ind w:firstLine="709"/>
        <w:jc w:val="both"/>
        <w:rPr>
          <w:rFonts w:ascii="Times New Roman" w:hAnsi="Times New Roman" w:cs="Times New Roman"/>
          <w:sz w:val="25"/>
          <w:szCs w:val="25"/>
        </w:rPr>
      </w:pPr>
      <w:r w:rsidRPr="00E80D22">
        <w:rPr>
          <w:rFonts w:ascii="Times New Roman" w:hAnsi="Times New Roman" w:cs="Times New Roman"/>
          <w:sz w:val="25"/>
          <w:szCs w:val="25"/>
        </w:rPr>
        <w:t>Комісією у пленарному складі</w:t>
      </w:r>
      <w:r w:rsidRPr="00EC1B9D">
        <w:rPr>
          <w:rFonts w:ascii="Times New Roman" w:hAnsi="Times New Roman" w:cs="Times New Roman"/>
          <w:sz w:val="25"/>
          <w:szCs w:val="25"/>
        </w:rPr>
        <w:t xml:space="preserve"> 04 листопада 2024 року оголошено перерву у розгляді питання щодо відповідності судді займаній посаді для проведення додаткового дослідження та перевірки окремих обставин та питань, що виникли </w:t>
      </w:r>
      <w:r w:rsidR="005459A1">
        <w:rPr>
          <w:rFonts w:ascii="Times New Roman" w:hAnsi="Times New Roman" w:cs="Times New Roman"/>
          <w:sz w:val="25"/>
          <w:szCs w:val="25"/>
        </w:rPr>
        <w:t>під час</w:t>
      </w:r>
      <w:r w:rsidRPr="00EC1B9D">
        <w:rPr>
          <w:rFonts w:ascii="Times New Roman" w:hAnsi="Times New Roman" w:cs="Times New Roman"/>
          <w:sz w:val="25"/>
          <w:szCs w:val="25"/>
        </w:rPr>
        <w:t xml:space="preserve"> засідання.</w:t>
      </w:r>
    </w:p>
    <w:p w:rsidR="00EC1B9D" w:rsidRDefault="00EC1B9D" w:rsidP="00D23C67">
      <w:pPr>
        <w:pStyle w:val="a5"/>
        <w:ind w:firstLine="709"/>
        <w:jc w:val="both"/>
        <w:rPr>
          <w:rFonts w:ascii="Times New Roman" w:hAnsi="Times New Roman" w:cs="Times New Roman"/>
          <w:sz w:val="25"/>
          <w:szCs w:val="25"/>
        </w:rPr>
      </w:pPr>
      <w:r w:rsidRPr="00EC1B9D">
        <w:rPr>
          <w:rFonts w:ascii="Times New Roman" w:hAnsi="Times New Roman" w:cs="Times New Roman"/>
          <w:sz w:val="25"/>
          <w:szCs w:val="25"/>
        </w:rPr>
        <w:t xml:space="preserve">Комісією </w:t>
      </w:r>
      <w:r w:rsidR="00D23C67" w:rsidRPr="00D23C67">
        <w:rPr>
          <w:rFonts w:ascii="Times New Roman" w:hAnsi="Times New Roman" w:cs="Times New Roman"/>
          <w:sz w:val="25"/>
          <w:szCs w:val="25"/>
        </w:rPr>
        <w:t xml:space="preserve">07 листопада 2024 року </w:t>
      </w:r>
      <w:r w:rsidRPr="00EC1B9D">
        <w:rPr>
          <w:rFonts w:ascii="Times New Roman" w:hAnsi="Times New Roman" w:cs="Times New Roman"/>
          <w:sz w:val="25"/>
          <w:szCs w:val="25"/>
        </w:rPr>
        <w:t xml:space="preserve">надіслано запит до голови Яворівського районного суду Львівської області щодо надання </w:t>
      </w:r>
      <w:r w:rsidR="00955DE7">
        <w:rPr>
          <w:rFonts w:ascii="Times New Roman" w:hAnsi="Times New Roman" w:cs="Times New Roman"/>
          <w:sz w:val="25"/>
          <w:szCs w:val="25"/>
        </w:rPr>
        <w:t xml:space="preserve">електронних </w:t>
      </w:r>
      <w:r w:rsidRPr="00EC1B9D">
        <w:rPr>
          <w:rFonts w:ascii="Times New Roman" w:hAnsi="Times New Roman" w:cs="Times New Roman"/>
          <w:sz w:val="25"/>
          <w:szCs w:val="25"/>
        </w:rPr>
        <w:t xml:space="preserve">копій </w:t>
      </w:r>
      <w:r w:rsidR="00955DE7">
        <w:rPr>
          <w:rFonts w:ascii="Times New Roman" w:hAnsi="Times New Roman" w:cs="Times New Roman"/>
          <w:sz w:val="25"/>
          <w:szCs w:val="25"/>
        </w:rPr>
        <w:t xml:space="preserve">9 </w:t>
      </w:r>
      <w:r w:rsidRPr="00EC1B9D">
        <w:rPr>
          <w:rFonts w:ascii="Times New Roman" w:hAnsi="Times New Roman" w:cs="Times New Roman"/>
          <w:sz w:val="25"/>
          <w:szCs w:val="25"/>
        </w:rPr>
        <w:t>матеріалів справ про адміністративні правопорушення</w:t>
      </w:r>
      <w:r w:rsidR="007D1BDB">
        <w:rPr>
          <w:rFonts w:ascii="Times New Roman" w:hAnsi="Times New Roman" w:cs="Times New Roman"/>
          <w:sz w:val="25"/>
          <w:szCs w:val="25"/>
        </w:rPr>
        <w:t xml:space="preserve"> (№№</w:t>
      </w:r>
      <w:r w:rsidR="005459A1">
        <w:rPr>
          <w:rFonts w:ascii="Times New Roman" w:hAnsi="Times New Roman" w:cs="Times New Roman"/>
          <w:sz w:val="25"/>
          <w:szCs w:val="25"/>
        </w:rPr>
        <w:t xml:space="preserve"> </w:t>
      </w:r>
      <w:r w:rsidR="007D1BDB" w:rsidRPr="007D1BDB">
        <w:rPr>
          <w:rFonts w:ascii="Times New Roman" w:hAnsi="Times New Roman" w:cs="Times New Roman"/>
          <w:sz w:val="25"/>
          <w:szCs w:val="25"/>
        </w:rPr>
        <w:t>460/1181/17</w:t>
      </w:r>
      <w:r w:rsidR="007D1BDB">
        <w:rPr>
          <w:rFonts w:ascii="Times New Roman" w:hAnsi="Times New Roman" w:cs="Times New Roman"/>
          <w:sz w:val="25"/>
          <w:szCs w:val="25"/>
        </w:rPr>
        <w:t xml:space="preserve">, </w:t>
      </w:r>
      <w:r w:rsidR="007D1BDB" w:rsidRPr="007D1BDB">
        <w:rPr>
          <w:rFonts w:ascii="Times New Roman" w:hAnsi="Times New Roman" w:cs="Times New Roman"/>
          <w:sz w:val="25"/>
          <w:szCs w:val="25"/>
        </w:rPr>
        <w:t>460/1388/17</w:t>
      </w:r>
      <w:r w:rsidR="007D1BDB">
        <w:rPr>
          <w:rFonts w:ascii="Times New Roman" w:hAnsi="Times New Roman" w:cs="Times New Roman"/>
          <w:sz w:val="25"/>
          <w:szCs w:val="25"/>
        </w:rPr>
        <w:t xml:space="preserve">, </w:t>
      </w:r>
      <w:r w:rsidR="007D1BDB" w:rsidRPr="007D1BDB">
        <w:rPr>
          <w:rFonts w:ascii="Times New Roman" w:hAnsi="Times New Roman" w:cs="Times New Roman"/>
          <w:sz w:val="25"/>
          <w:szCs w:val="25"/>
        </w:rPr>
        <w:t>460/1650/17</w:t>
      </w:r>
      <w:r w:rsidR="007D1BDB">
        <w:rPr>
          <w:rFonts w:ascii="Times New Roman" w:hAnsi="Times New Roman" w:cs="Times New Roman"/>
          <w:sz w:val="25"/>
          <w:szCs w:val="25"/>
        </w:rPr>
        <w:t xml:space="preserve">, </w:t>
      </w:r>
      <w:r w:rsidR="007D1BDB" w:rsidRPr="007D1BDB">
        <w:rPr>
          <w:rFonts w:ascii="Times New Roman" w:hAnsi="Times New Roman" w:cs="Times New Roman"/>
          <w:sz w:val="25"/>
          <w:szCs w:val="25"/>
        </w:rPr>
        <w:t>460/3192/17</w:t>
      </w:r>
      <w:r w:rsidR="007D1BDB">
        <w:rPr>
          <w:rFonts w:ascii="Times New Roman" w:hAnsi="Times New Roman" w:cs="Times New Roman"/>
          <w:sz w:val="25"/>
          <w:szCs w:val="25"/>
        </w:rPr>
        <w:t xml:space="preserve">, 460/603/18, </w:t>
      </w:r>
      <w:r w:rsidR="007D1BDB" w:rsidRPr="007D1BDB">
        <w:rPr>
          <w:rFonts w:ascii="Times New Roman" w:hAnsi="Times New Roman" w:cs="Times New Roman"/>
          <w:sz w:val="25"/>
          <w:szCs w:val="25"/>
        </w:rPr>
        <w:t>460/1772/18</w:t>
      </w:r>
      <w:r w:rsidR="007D1BDB">
        <w:rPr>
          <w:rFonts w:ascii="Times New Roman" w:hAnsi="Times New Roman" w:cs="Times New Roman"/>
          <w:sz w:val="25"/>
          <w:szCs w:val="25"/>
        </w:rPr>
        <w:t xml:space="preserve">, 460/45/19, 944/2283/20, </w:t>
      </w:r>
      <w:r w:rsidR="00D80DF5">
        <w:rPr>
          <w:rFonts w:ascii="Times New Roman" w:hAnsi="Times New Roman" w:cs="Times New Roman"/>
          <w:sz w:val="25"/>
          <w:szCs w:val="25"/>
        </w:rPr>
        <w:t>460/2186/17</w:t>
      </w:r>
      <w:r w:rsidR="00721EFB">
        <w:rPr>
          <w:rFonts w:ascii="Times New Roman" w:hAnsi="Times New Roman" w:cs="Times New Roman"/>
          <w:sz w:val="25"/>
          <w:szCs w:val="25"/>
        </w:rPr>
        <w:t xml:space="preserve">), </w:t>
      </w:r>
      <w:r w:rsidR="005459A1">
        <w:rPr>
          <w:rFonts w:ascii="Times New Roman" w:hAnsi="Times New Roman" w:cs="Times New Roman"/>
          <w:sz w:val="25"/>
          <w:szCs w:val="25"/>
        </w:rPr>
        <w:t>у</w:t>
      </w:r>
      <w:r w:rsidRPr="00EC1B9D">
        <w:rPr>
          <w:rFonts w:ascii="Times New Roman" w:hAnsi="Times New Roman" w:cs="Times New Roman"/>
          <w:sz w:val="25"/>
          <w:szCs w:val="25"/>
        </w:rPr>
        <w:t xml:space="preserve"> яких матеріали передано на розгляд трудових колективів фізичних</w:t>
      </w:r>
      <w:r w:rsidR="00D23C67">
        <w:rPr>
          <w:rFonts w:ascii="Times New Roman" w:hAnsi="Times New Roman" w:cs="Times New Roman"/>
          <w:sz w:val="25"/>
          <w:szCs w:val="25"/>
        </w:rPr>
        <w:t xml:space="preserve"> </w:t>
      </w:r>
      <w:r w:rsidR="005459A1">
        <w:rPr>
          <w:rFonts w:ascii="Times New Roman" w:hAnsi="Times New Roman" w:cs="Times New Roman"/>
          <w:sz w:val="25"/>
          <w:szCs w:val="25"/>
        </w:rPr>
        <w:t xml:space="preserve">осіб – </w:t>
      </w:r>
      <w:r w:rsidRPr="00EC1B9D">
        <w:rPr>
          <w:rFonts w:ascii="Times New Roman" w:hAnsi="Times New Roman" w:cs="Times New Roman"/>
          <w:sz w:val="25"/>
          <w:szCs w:val="25"/>
        </w:rPr>
        <w:t>підприємців</w:t>
      </w:r>
      <w:r w:rsidR="00DF7944">
        <w:rPr>
          <w:rFonts w:ascii="Times New Roman" w:hAnsi="Times New Roman" w:cs="Times New Roman"/>
          <w:sz w:val="25"/>
          <w:szCs w:val="25"/>
        </w:rPr>
        <w:t xml:space="preserve"> для застосування заходів громадського впливу</w:t>
      </w:r>
      <w:r w:rsidRPr="00EC1B9D">
        <w:rPr>
          <w:rFonts w:ascii="Times New Roman" w:hAnsi="Times New Roman" w:cs="Times New Roman"/>
          <w:sz w:val="25"/>
          <w:szCs w:val="25"/>
        </w:rPr>
        <w:t>.</w:t>
      </w:r>
    </w:p>
    <w:p w:rsidR="00B418FC" w:rsidRDefault="00B418FC" w:rsidP="00D23C67">
      <w:pPr>
        <w:pStyle w:val="a5"/>
        <w:ind w:firstLine="709"/>
        <w:jc w:val="both"/>
        <w:rPr>
          <w:rFonts w:ascii="Times New Roman" w:hAnsi="Times New Roman" w:cs="Times New Roman"/>
          <w:sz w:val="25"/>
          <w:szCs w:val="25"/>
        </w:rPr>
      </w:pPr>
      <w:r w:rsidRPr="00B418FC">
        <w:rPr>
          <w:rFonts w:ascii="Times New Roman" w:hAnsi="Times New Roman" w:cs="Times New Roman"/>
          <w:sz w:val="25"/>
          <w:szCs w:val="25"/>
        </w:rPr>
        <w:t>У відповідь на цей запит в.о. голови Яворівського районного суду Львівської області 12 листопада 2024 року надіслано лист, в якому повідомлено про надання електронних копій лише 2</w:t>
      </w:r>
      <w:r>
        <w:rPr>
          <w:rFonts w:ascii="Times New Roman" w:hAnsi="Times New Roman" w:cs="Times New Roman"/>
          <w:sz w:val="25"/>
          <w:szCs w:val="25"/>
        </w:rPr>
        <w:t xml:space="preserve"> матеріалів</w:t>
      </w:r>
      <w:r w:rsidRPr="00B418FC">
        <w:rPr>
          <w:rFonts w:ascii="Times New Roman" w:hAnsi="Times New Roman" w:cs="Times New Roman"/>
          <w:sz w:val="25"/>
          <w:szCs w:val="25"/>
        </w:rPr>
        <w:t xml:space="preserve"> справ про а</w:t>
      </w:r>
      <w:r>
        <w:rPr>
          <w:rFonts w:ascii="Times New Roman" w:hAnsi="Times New Roman" w:cs="Times New Roman"/>
          <w:sz w:val="25"/>
          <w:szCs w:val="25"/>
        </w:rPr>
        <w:t>дміністративні правопорушення № </w:t>
      </w:r>
      <w:r w:rsidRPr="00B418FC">
        <w:rPr>
          <w:rFonts w:ascii="Times New Roman" w:hAnsi="Times New Roman" w:cs="Times New Roman"/>
          <w:sz w:val="25"/>
          <w:szCs w:val="25"/>
        </w:rPr>
        <w:t xml:space="preserve">460/45/19 та № 944/2283/20. </w:t>
      </w:r>
      <w:r w:rsidR="005459A1">
        <w:rPr>
          <w:rFonts w:ascii="Times New Roman" w:hAnsi="Times New Roman" w:cs="Times New Roman"/>
          <w:sz w:val="25"/>
          <w:szCs w:val="25"/>
        </w:rPr>
        <w:t>П</w:t>
      </w:r>
      <w:r w:rsidR="00DF7944">
        <w:rPr>
          <w:rFonts w:ascii="Times New Roman" w:hAnsi="Times New Roman" w:cs="Times New Roman"/>
          <w:sz w:val="25"/>
          <w:szCs w:val="25"/>
        </w:rPr>
        <w:t xml:space="preserve">оінформовано, що надати інші матеріали </w:t>
      </w:r>
      <w:r w:rsidRPr="00B418FC">
        <w:rPr>
          <w:rFonts w:ascii="Times New Roman" w:hAnsi="Times New Roman" w:cs="Times New Roman"/>
          <w:sz w:val="25"/>
          <w:szCs w:val="25"/>
        </w:rPr>
        <w:t>неможлив</w:t>
      </w:r>
      <w:r w:rsidR="005459A1">
        <w:rPr>
          <w:rFonts w:ascii="Times New Roman" w:hAnsi="Times New Roman" w:cs="Times New Roman"/>
          <w:sz w:val="25"/>
          <w:szCs w:val="25"/>
        </w:rPr>
        <w:t>о, оскільки їх знищено</w:t>
      </w:r>
      <w:r w:rsidRPr="00B418FC">
        <w:rPr>
          <w:rFonts w:ascii="Times New Roman" w:hAnsi="Times New Roman" w:cs="Times New Roman"/>
          <w:sz w:val="25"/>
          <w:szCs w:val="25"/>
        </w:rPr>
        <w:t xml:space="preserve"> згідно з Переліком судових справ і документів, що утворюються в діяльності суду, із зазначенням строків зб</w:t>
      </w:r>
      <w:r>
        <w:rPr>
          <w:rFonts w:ascii="Times New Roman" w:hAnsi="Times New Roman" w:cs="Times New Roman"/>
          <w:sz w:val="25"/>
          <w:szCs w:val="25"/>
        </w:rPr>
        <w:t>ерігання.</w:t>
      </w:r>
    </w:p>
    <w:p w:rsidR="00B418FC" w:rsidRPr="000E35A0" w:rsidRDefault="00B418FC" w:rsidP="00B418FC">
      <w:pPr>
        <w:pStyle w:val="a5"/>
        <w:ind w:firstLine="709"/>
        <w:jc w:val="both"/>
        <w:rPr>
          <w:rFonts w:ascii="Times New Roman" w:hAnsi="Times New Roman" w:cs="Times New Roman"/>
          <w:sz w:val="25"/>
          <w:szCs w:val="25"/>
          <w:lang w:val="en-US"/>
        </w:rPr>
      </w:pPr>
      <w:r w:rsidRPr="00B418FC">
        <w:rPr>
          <w:rFonts w:ascii="Times New Roman" w:hAnsi="Times New Roman" w:cs="Times New Roman"/>
          <w:sz w:val="25"/>
          <w:szCs w:val="25"/>
        </w:rPr>
        <w:t>З метою з’ясування обставин щодо</w:t>
      </w:r>
      <w:r>
        <w:rPr>
          <w:rFonts w:ascii="Times New Roman" w:hAnsi="Times New Roman" w:cs="Times New Roman"/>
          <w:sz w:val="25"/>
          <w:szCs w:val="25"/>
        </w:rPr>
        <w:t xml:space="preserve"> видів та наслідків застосованих трудовими колективами заходів громадського впливу до звільнених </w:t>
      </w:r>
      <w:r w:rsidR="00DF7944">
        <w:rPr>
          <w:rFonts w:ascii="Times New Roman" w:hAnsi="Times New Roman" w:cs="Times New Roman"/>
          <w:sz w:val="25"/>
          <w:szCs w:val="25"/>
        </w:rPr>
        <w:t xml:space="preserve">суддею </w:t>
      </w:r>
      <w:r>
        <w:rPr>
          <w:rFonts w:ascii="Times New Roman" w:hAnsi="Times New Roman" w:cs="Times New Roman"/>
          <w:sz w:val="25"/>
          <w:szCs w:val="25"/>
        </w:rPr>
        <w:t xml:space="preserve">від відповідальності осіб у 9 </w:t>
      </w:r>
      <w:r w:rsidRPr="00B418FC">
        <w:rPr>
          <w:rFonts w:ascii="Times New Roman" w:hAnsi="Times New Roman" w:cs="Times New Roman"/>
          <w:sz w:val="25"/>
          <w:szCs w:val="25"/>
        </w:rPr>
        <w:t>справ</w:t>
      </w:r>
      <w:r>
        <w:rPr>
          <w:rFonts w:ascii="Times New Roman" w:hAnsi="Times New Roman" w:cs="Times New Roman"/>
          <w:sz w:val="25"/>
          <w:szCs w:val="25"/>
        </w:rPr>
        <w:t>ах</w:t>
      </w:r>
      <w:r w:rsidRPr="00B418FC">
        <w:rPr>
          <w:rFonts w:ascii="Times New Roman" w:hAnsi="Times New Roman" w:cs="Times New Roman"/>
          <w:sz w:val="25"/>
          <w:szCs w:val="25"/>
        </w:rPr>
        <w:t xml:space="preserve"> про</w:t>
      </w:r>
      <w:r w:rsidR="005459A1">
        <w:rPr>
          <w:rFonts w:ascii="Times New Roman" w:hAnsi="Times New Roman" w:cs="Times New Roman"/>
          <w:sz w:val="25"/>
          <w:szCs w:val="25"/>
        </w:rPr>
        <w:t xml:space="preserve"> адміністративні правопорушення</w:t>
      </w:r>
      <w:r w:rsidRPr="00B418FC">
        <w:rPr>
          <w:rFonts w:ascii="Times New Roman" w:hAnsi="Times New Roman" w:cs="Times New Roman"/>
          <w:sz w:val="25"/>
          <w:szCs w:val="25"/>
        </w:rPr>
        <w:t xml:space="preserve"> Комісією надіслано запит Кондратьєв</w:t>
      </w:r>
      <w:r>
        <w:rPr>
          <w:rFonts w:ascii="Times New Roman" w:hAnsi="Times New Roman" w:cs="Times New Roman"/>
          <w:sz w:val="25"/>
          <w:szCs w:val="25"/>
        </w:rPr>
        <w:t>ій </w:t>
      </w:r>
      <w:r w:rsidRPr="00B418FC">
        <w:rPr>
          <w:rFonts w:ascii="Times New Roman" w:hAnsi="Times New Roman" w:cs="Times New Roman"/>
          <w:sz w:val="25"/>
          <w:szCs w:val="25"/>
        </w:rPr>
        <w:t>Н.А.</w:t>
      </w:r>
    </w:p>
    <w:p w:rsidR="00EC1B9D" w:rsidRDefault="00C33702" w:rsidP="00E80D22">
      <w:pPr>
        <w:pStyle w:val="a5"/>
        <w:ind w:firstLine="709"/>
        <w:jc w:val="both"/>
        <w:rPr>
          <w:rFonts w:ascii="Times New Roman" w:hAnsi="Times New Roman" w:cs="Times New Roman"/>
          <w:sz w:val="25"/>
          <w:szCs w:val="25"/>
        </w:rPr>
      </w:pPr>
      <w:r w:rsidRPr="00C33702">
        <w:rPr>
          <w:rFonts w:ascii="Times New Roman" w:hAnsi="Times New Roman" w:cs="Times New Roman"/>
          <w:sz w:val="25"/>
          <w:szCs w:val="25"/>
        </w:rPr>
        <w:t xml:space="preserve">У відповідь на цей запит суддя </w:t>
      </w:r>
      <w:r>
        <w:rPr>
          <w:rFonts w:ascii="Times New Roman" w:hAnsi="Times New Roman" w:cs="Times New Roman"/>
          <w:sz w:val="25"/>
          <w:szCs w:val="25"/>
        </w:rPr>
        <w:t>12</w:t>
      </w:r>
      <w:r w:rsidRPr="00C33702">
        <w:rPr>
          <w:rFonts w:ascii="Times New Roman" w:hAnsi="Times New Roman" w:cs="Times New Roman"/>
          <w:sz w:val="25"/>
          <w:szCs w:val="25"/>
        </w:rPr>
        <w:t xml:space="preserve"> </w:t>
      </w:r>
      <w:r>
        <w:rPr>
          <w:rFonts w:ascii="Times New Roman" w:hAnsi="Times New Roman" w:cs="Times New Roman"/>
          <w:sz w:val="25"/>
          <w:szCs w:val="25"/>
        </w:rPr>
        <w:t>листопада</w:t>
      </w:r>
      <w:r w:rsidRPr="00C33702">
        <w:rPr>
          <w:rFonts w:ascii="Times New Roman" w:hAnsi="Times New Roman" w:cs="Times New Roman"/>
          <w:sz w:val="25"/>
          <w:szCs w:val="25"/>
        </w:rPr>
        <w:t xml:space="preserve"> 2024 року надала </w:t>
      </w:r>
      <w:r w:rsidR="00B418FC">
        <w:rPr>
          <w:rFonts w:ascii="Times New Roman" w:hAnsi="Times New Roman" w:cs="Times New Roman"/>
          <w:sz w:val="25"/>
          <w:szCs w:val="25"/>
        </w:rPr>
        <w:t xml:space="preserve">пояснення, </w:t>
      </w:r>
      <w:r w:rsidR="00B418FC" w:rsidRPr="00B418FC">
        <w:rPr>
          <w:rFonts w:ascii="Times New Roman" w:hAnsi="Times New Roman" w:cs="Times New Roman"/>
          <w:sz w:val="25"/>
          <w:szCs w:val="25"/>
        </w:rPr>
        <w:t>зазначивши, що більшість матеріалів знищено через закінчення строку їх зберігання</w:t>
      </w:r>
      <w:r w:rsidR="009C4BEA">
        <w:rPr>
          <w:rFonts w:ascii="Times New Roman" w:hAnsi="Times New Roman" w:cs="Times New Roman"/>
          <w:sz w:val="25"/>
          <w:szCs w:val="25"/>
        </w:rPr>
        <w:t xml:space="preserve">, </w:t>
      </w:r>
      <w:r w:rsidR="00EA55E5">
        <w:rPr>
          <w:rFonts w:ascii="Times New Roman" w:hAnsi="Times New Roman" w:cs="Times New Roman"/>
          <w:sz w:val="25"/>
          <w:szCs w:val="25"/>
        </w:rPr>
        <w:t>на підтвердження</w:t>
      </w:r>
      <w:r w:rsidR="009C4BEA">
        <w:rPr>
          <w:rFonts w:ascii="Times New Roman" w:hAnsi="Times New Roman" w:cs="Times New Roman"/>
          <w:sz w:val="25"/>
          <w:szCs w:val="25"/>
        </w:rPr>
        <w:t xml:space="preserve"> </w:t>
      </w:r>
      <w:r w:rsidR="00DF7944">
        <w:rPr>
          <w:rFonts w:ascii="Times New Roman" w:hAnsi="Times New Roman" w:cs="Times New Roman"/>
          <w:sz w:val="25"/>
          <w:szCs w:val="25"/>
        </w:rPr>
        <w:t xml:space="preserve">долучила </w:t>
      </w:r>
      <w:r w:rsidR="00EA55E5">
        <w:rPr>
          <w:rFonts w:ascii="Times New Roman" w:hAnsi="Times New Roman" w:cs="Times New Roman"/>
          <w:sz w:val="25"/>
          <w:szCs w:val="25"/>
        </w:rPr>
        <w:t>довідку від 11 листопада 2024 року № 73</w:t>
      </w:r>
      <w:r w:rsidR="00B418FC" w:rsidRPr="00B418FC">
        <w:rPr>
          <w:rFonts w:ascii="Times New Roman" w:hAnsi="Times New Roman" w:cs="Times New Roman"/>
          <w:sz w:val="25"/>
          <w:szCs w:val="25"/>
        </w:rPr>
        <w:t xml:space="preserve">. </w:t>
      </w:r>
      <w:r w:rsidR="00DF7944">
        <w:rPr>
          <w:rFonts w:ascii="Times New Roman" w:hAnsi="Times New Roman" w:cs="Times New Roman"/>
          <w:sz w:val="25"/>
          <w:szCs w:val="25"/>
        </w:rPr>
        <w:t>Пояснила, що із цих причин надати</w:t>
      </w:r>
      <w:r w:rsidR="00B418FC" w:rsidRPr="00B418FC">
        <w:rPr>
          <w:rFonts w:ascii="Times New Roman" w:hAnsi="Times New Roman" w:cs="Times New Roman"/>
          <w:sz w:val="25"/>
          <w:szCs w:val="25"/>
        </w:rPr>
        <w:t xml:space="preserve"> детальні відомості про заходи громадського впливу неможливо через відсутність відповідних документів.</w:t>
      </w:r>
    </w:p>
    <w:p w:rsidR="008B11AE" w:rsidRPr="00EA55E5" w:rsidRDefault="001A3BDF" w:rsidP="008B11AE">
      <w:pPr>
        <w:pStyle w:val="a5"/>
        <w:ind w:firstLine="709"/>
        <w:jc w:val="both"/>
        <w:rPr>
          <w:rFonts w:ascii="Times New Roman" w:hAnsi="Times New Roman" w:cs="Times New Roman"/>
          <w:sz w:val="25"/>
          <w:szCs w:val="25"/>
        </w:rPr>
      </w:pPr>
      <w:r>
        <w:rPr>
          <w:rFonts w:ascii="Times New Roman" w:hAnsi="Times New Roman" w:cs="Times New Roman"/>
          <w:sz w:val="25"/>
          <w:szCs w:val="25"/>
        </w:rPr>
        <w:t xml:space="preserve">Стосовно 2 </w:t>
      </w:r>
      <w:r w:rsidRPr="001A3BDF">
        <w:rPr>
          <w:rFonts w:ascii="Times New Roman" w:hAnsi="Times New Roman" w:cs="Times New Roman"/>
          <w:sz w:val="25"/>
          <w:szCs w:val="25"/>
        </w:rPr>
        <w:t>справ про адміністративні правопорушення</w:t>
      </w:r>
      <w:r>
        <w:rPr>
          <w:rFonts w:ascii="Times New Roman" w:hAnsi="Times New Roman" w:cs="Times New Roman"/>
          <w:sz w:val="25"/>
          <w:szCs w:val="25"/>
        </w:rPr>
        <w:t xml:space="preserve"> (№</w:t>
      </w:r>
      <w:r w:rsidR="00090D58">
        <w:rPr>
          <w:rFonts w:ascii="Times New Roman" w:hAnsi="Times New Roman" w:cs="Times New Roman"/>
          <w:sz w:val="25"/>
          <w:szCs w:val="25"/>
        </w:rPr>
        <w:t xml:space="preserve"> 460/45/19 та № </w:t>
      </w:r>
      <w:r w:rsidRPr="001A3BDF">
        <w:rPr>
          <w:rFonts w:ascii="Times New Roman" w:hAnsi="Times New Roman" w:cs="Times New Roman"/>
          <w:sz w:val="25"/>
          <w:szCs w:val="25"/>
        </w:rPr>
        <w:t>944/2283/20</w:t>
      </w:r>
      <w:r>
        <w:rPr>
          <w:rFonts w:ascii="Times New Roman" w:hAnsi="Times New Roman" w:cs="Times New Roman"/>
          <w:sz w:val="25"/>
          <w:szCs w:val="25"/>
        </w:rPr>
        <w:t xml:space="preserve">) </w:t>
      </w:r>
      <w:r w:rsidR="00090D58">
        <w:rPr>
          <w:rFonts w:ascii="Times New Roman" w:hAnsi="Times New Roman" w:cs="Times New Roman"/>
          <w:sz w:val="25"/>
          <w:szCs w:val="25"/>
        </w:rPr>
        <w:t xml:space="preserve">суддя </w:t>
      </w:r>
      <w:r>
        <w:rPr>
          <w:rFonts w:ascii="Times New Roman" w:hAnsi="Times New Roman" w:cs="Times New Roman"/>
          <w:sz w:val="25"/>
          <w:szCs w:val="25"/>
        </w:rPr>
        <w:t xml:space="preserve">надала пояснення та </w:t>
      </w:r>
      <w:r w:rsidRPr="001A3BDF">
        <w:rPr>
          <w:rFonts w:ascii="Times New Roman" w:hAnsi="Times New Roman" w:cs="Times New Roman"/>
          <w:sz w:val="25"/>
          <w:szCs w:val="25"/>
        </w:rPr>
        <w:t>документи</w:t>
      </w:r>
      <w:r>
        <w:rPr>
          <w:rFonts w:ascii="Times New Roman" w:hAnsi="Times New Roman" w:cs="Times New Roman"/>
          <w:sz w:val="25"/>
          <w:szCs w:val="25"/>
        </w:rPr>
        <w:t xml:space="preserve"> </w:t>
      </w:r>
      <w:r w:rsidR="00B966E6">
        <w:rPr>
          <w:rFonts w:ascii="Times New Roman" w:hAnsi="Times New Roman" w:cs="Times New Roman"/>
          <w:sz w:val="25"/>
          <w:szCs w:val="25"/>
        </w:rPr>
        <w:t xml:space="preserve">для доведення їх переконливості. У </w:t>
      </w:r>
      <w:r w:rsidR="00B966E6">
        <w:rPr>
          <w:rFonts w:ascii="Times New Roman" w:hAnsi="Times New Roman" w:cs="Times New Roman"/>
          <w:sz w:val="25"/>
          <w:szCs w:val="25"/>
        </w:rPr>
        <w:lastRenderedPageBreak/>
        <w:t xml:space="preserve">них висвітлено </w:t>
      </w:r>
      <w:r w:rsidRPr="001A3BDF">
        <w:rPr>
          <w:rFonts w:ascii="Times New Roman" w:hAnsi="Times New Roman" w:cs="Times New Roman"/>
          <w:sz w:val="25"/>
          <w:szCs w:val="25"/>
        </w:rPr>
        <w:t xml:space="preserve">вид та наслідки застосованих трудовими колективами </w:t>
      </w:r>
      <w:r w:rsidR="00EA55E5">
        <w:rPr>
          <w:rFonts w:ascii="Times New Roman" w:hAnsi="Times New Roman" w:cs="Times New Roman"/>
          <w:sz w:val="25"/>
          <w:szCs w:val="25"/>
        </w:rPr>
        <w:t>фізичних</w:t>
      </w:r>
      <w:r w:rsidR="005459A1">
        <w:rPr>
          <w:rFonts w:ascii="Times New Roman" w:hAnsi="Times New Roman" w:cs="Times New Roman"/>
          <w:sz w:val="25"/>
          <w:szCs w:val="25"/>
        </w:rPr>
        <w:t xml:space="preserve"> </w:t>
      </w:r>
      <w:r w:rsidR="00EA55E5">
        <w:rPr>
          <w:rFonts w:ascii="Times New Roman" w:hAnsi="Times New Roman" w:cs="Times New Roman"/>
          <w:sz w:val="25"/>
          <w:szCs w:val="25"/>
        </w:rPr>
        <w:t>осіб</w:t>
      </w:r>
      <w:r w:rsidR="005459A1">
        <w:rPr>
          <w:rFonts w:ascii="Times New Roman" w:hAnsi="Times New Roman" w:cs="Times New Roman"/>
          <w:sz w:val="25"/>
          <w:szCs w:val="25"/>
        </w:rPr>
        <w:t xml:space="preserve"> –</w:t>
      </w:r>
      <w:r w:rsidR="000A6B2A">
        <w:rPr>
          <w:rFonts w:ascii="Times New Roman" w:hAnsi="Times New Roman" w:cs="Times New Roman"/>
          <w:sz w:val="25"/>
          <w:szCs w:val="25"/>
        </w:rPr>
        <w:t xml:space="preserve"> </w:t>
      </w:r>
      <w:r w:rsidR="00EA55E5">
        <w:rPr>
          <w:rFonts w:ascii="Times New Roman" w:hAnsi="Times New Roman" w:cs="Times New Roman"/>
          <w:sz w:val="25"/>
          <w:szCs w:val="25"/>
        </w:rPr>
        <w:t xml:space="preserve">підприємців </w:t>
      </w:r>
      <w:r w:rsidRPr="001A3BDF">
        <w:rPr>
          <w:rFonts w:ascii="Times New Roman" w:hAnsi="Times New Roman" w:cs="Times New Roman"/>
          <w:sz w:val="25"/>
          <w:szCs w:val="25"/>
        </w:rPr>
        <w:t xml:space="preserve">заходів громадського впливу до звільнених від відповідальності осіб у </w:t>
      </w:r>
      <w:r>
        <w:rPr>
          <w:rFonts w:ascii="Times New Roman" w:hAnsi="Times New Roman" w:cs="Times New Roman"/>
          <w:sz w:val="25"/>
          <w:szCs w:val="25"/>
        </w:rPr>
        <w:t xml:space="preserve">цих </w:t>
      </w:r>
      <w:r w:rsidRPr="001A3BDF">
        <w:rPr>
          <w:rFonts w:ascii="Times New Roman" w:hAnsi="Times New Roman" w:cs="Times New Roman"/>
          <w:sz w:val="25"/>
          <w:szCs w:val="25"/>
        </w:rPr>
        <w:t>справах</w:t>
      </w:r>
      <w:r w:rsidR="00EA55E5">
        <w:rPr>
          <w:rFonts w:ascii="Times New Roman" w:hAnsi="Times New Roman" w:cs="Times New Roman"/>
          <w:sz w:val="25"/>
          <w:szCs w:val="25"/>
        </w:rPr>
        <w:t>.</w:t>
      </w:r>
    </w:p>
    <w:p w:rsidR="00AC75B9" w:rsidRDefault="002B6283" w:rsidP="00AC75B9">
      <w:pPr>
        <w:pStyle w:val="a5"/>
        <w:ind w:firstLine="709"/>
        <w:jc w:val="both"/>
        <w:rPr>
          <w:rFonts w:ascii="Times New Roman" w:hAnsi="Times New Roman" w:cs="Times New Roman"/>
          <w:sz w:val="25"/>
          <w:szCs w:val="25"/>
        </w:rPr>
      </w:pPr>
      <w:r w:rsidRPr="00E80D22">
        <w:rPr>
          <w:rFonts w:ascii="Times New Roman" w:hAnsi="Times New Roman" w:cs="Times New Roman"/>
          <w:sz w:val="25"/>
          <w:szCs w:val="25"/>
        </w:rPr>
        <w:t xml:space="preserve">Комісією у пленарному складі </w:t>
      </w:r>
      <w:r w:rsidR="00EA55E5">
        <w:rPr>
          <w:rFonts w:ascii="Times New Roman" w:hAnsi="Times New Roman" w:cs="Times New Roman"/>
          <w:sz w:val="25"/>
          <w:szCs w:val="25"/>
        </w:rPr>
        <w:t xml:space="preserve">02 грудня 2024 року </w:t>
      </w:r>
      <w:r w:rsidRPr="00E80D22">
        <w:rPr>
          <w:rFonts w:ascii="Times New Roman" w:hAnsi="Times New Roman" w:cs="Times New Roman"/>
          <w:sz w:val="25"/>
          <w:szCs w:val="25"/>
        </w:rPr>
        <w:t>проведено співбесіду із суддею, під час якої обговорено рішення Комісії, ухвалене у складі колегії, висновок ГРД, пояснення судді, інші обставини, документи та матеріали.</w:t>
      </w:r>
    </w:p>
    <w:p w:rsidR="00AC75B9" w:rsidRDefault="00AC75B9" w:rsidP="00AC75B9">
      <w:pPr>
        <w:pStyle w:val="a5"/>
        <w:ind w:firstLine="709"/>
        <w:jc w:val="both"/>
        <w:rPr>
          <w:rFonts w:ascii="Times New Roman" w:hAnsi="Times New Roman" w:cs="Times New Roman"/>
          <w:sz w:val="25"/>
          <w:szCs w:val="25"/>
        </w:rPr>
      </w:pPr>
    </w:p>
    <w:p w:rsidR="00AC75B9" w:rsidRDefault="00CC7A17" w:rsidP="00AC75B9">
      <w:pPr>
        <w:pStyle w:val="a5"/>
        <w:ind w:firstLine="709"/>
        <w:jc w:val="both"/>
        <w:rPr>
          <w:rFonts w:ascii="Times New Roman" w:hAnsi="Times New Roman" w:cs="Times New Roman"/>
          <w:sz w:val="25"/>
          <w:szCs w:val="25"/>
        </w:rPr>
      </w:pPr>
      <w:r w:rsidRPr="00E80D22">
        <w:rPr>
          <w:rFonts w:ascii="Times New Roman" w:eastAsia="Times New Roman" w:hAnsi="Times New Roman" w:cs="Times New Roman"/>
          <w:b/>
          <w:bCs/>
          <w:color w:val="000000"/>
          <w:sz w:val="25"/>
          <w:szCs w:val="25"/>
          <w:lang w:eastAsia="uk-UA"/>
        </w:rPr>
        <w:t xml:space="preserve">Стислий виклад висновку (інформації) Громадської ради доброчесності. </w:t>
      </w:r>
    </w:p>
    <w:p w:rsidR="00AC75B9" w:rsidRDefault="00AC75B9" w:rsidP="00AC75B9">
      <w:pPr>
        <w:pStyle w:val="a5"/>
        <w:ind w:firstLine="709"/>
        <w:jc w:val="both"/>
        <w:rPr>
          <w:rFonts w:ascii="Times New Roman" w:hAnsi="Times New Roman" w:cs="Times New Roman"/>
          <w:sz w:val="25"/>
          <w:szCs w:val="25"/>
        </w:rPr>
      </w:pPr>
      <w:r>
        <w:rPr>
          <w:rFonts w:ascii="Times New Roman" w:hAnsi="Times New Roman" w:cs="Times New Roman"/>
          <w:sz w:val="25"/>
          <w:szCs w:val="25"/>
        </w:rPr>
        <w:t>Висновок ГРД</w:t>
      </w:r>
      <w:r w:rsidRPr="00727E2B">
        <w:rPr>
          <w:rFonts w:ascii="Times New Roman" w:hAnsi="Times New Roman" w:cs="Times New Roman"/>
          <w:sz w:val="25"/>
          <w:szCs w:val="25"/>
        </w:rPr>
        <w:t xml:space="preserve"> </w:t>
      </w:r>
      <w:r w:rsidRPr="00AC75B9">
        <w:rPr>
          <w:rFonts w:ascii="Times New Roman" w:hAnsi="Times New Roman" w:cs="Times New Roman"/>
          <w:sz w:val="25"/>
          <w:szCs w:val="25"/>
        </w:rPr>
        <w:t>про невідповідність судді Кондратьєвої Н.А. критеріям доб</w:t>
      </w:r>
      <w:r>
        <w:rPr>
          <w:rFonts w:ascii="Times New Roman" w:hAnsi="Times New Roman" w:cs="Times New Roman"/>
          <w:sz w:val="25"/>
          <w:szCs w:val="25"/>
        </w:rPr>
        <w:t xml:space="preserve">рочесності та професійної етики, що надійшов на адресу </w:t>
      </w:r>
      <w:r w:rsidRPr="00F36270">
        <w:rPr>
          <w:rFonts w:ascii="Times New Roman" w:hAnsi="Times New Roman" w:cs="Times New Roman"/>
          <w:sz w:val="25"/>
          <w:szCs w:val="25"/>
        </w:rPr>
        <w:t xml:space="preserve">Комісії 16 серпня 2024 року, </w:t>
      </w:r>
      <w:r>
        <w:rPr>
          <w:rFonts w:ascii="Times New Roman" w:hAnsi="Times New Roman" w:cs="Times New Roman"/>
          <w:sz w:val="25"/>
          <w:szCs w:val="25"/>
        </w:rPr>
        <w:t>обґрунтован</w:t>
      </w:r>
      <w:r w:rsidR="005459A1">
        <w:rPr>
          <w:rFonts w:ascii="Times New Roman" w:hAnsi="Times New Roman" w:cs="Times New Roman"/>
          <w:sz w:val="25"/>
          <w:szCs w:val="25"/>
        </w:rPr>
        <w:t>о</w:t>
      </w:r>
      <w:r>
        <w:rPr>
          <w:rFonts w:ascii="Times New Roman" w:hAnsi="Times New Roman" w:cs="Times New Roman"/>
          <w:sz w:val="25"/>
          <w:szCs w:val="25"/>
        </w:rPr>
        <w:t xml:space="preserve"> таким</w:t>
      </w:r>
      <w:r w:rsidRPr="00E80D22">
        <w:rPr>
          <w:rFonts w:ascii="Times New Roman" w:hAnsi="Times New Roman" w:cs="Times New Roman"/>
          <w:sz w:val="25"/>
          <w:szCs w:val="25"/>
        </w:rPr>
        <w:t>.</w:t>
      </w:r>
    </w:p>
    <w:p w:rsidR="00AC75B9" w:rsidRDefault="00AC75B9" w:rsidP="00AC75B9">
      <w:pPr>
        <w:pStyle w:val="a5"/>
        <w:ind w:firstLine="709"/>
        <w:jc w:val="both"/>
        <w:rPr>
          <w:rFonts w:ascii="Times New Roman" w:hAnsi="Times New Roman" w:cs="Times New Roman"/>
          <w:sz w:val="25"/>
          <w:szCs w:val="25"/>
        </w:rPr>
      </w:pPr>
      <w:r>
        <w:rPr>
          <w:rFonts w:ascii="Times New Roman" w:hAnsi="Times New Roman" w:cs="Times New Roman"/>
          <w:sz w:val="25"/>
          <w:szCs w:val="25"/>
        </w:rPr>
        <w:t>З</w:t>
      </w:r>
      <w:r w:rsidRPr="00727E2B">
        <w:rPr>
          <w:rFonts w:ascii="Times New Roman" w:hAnsi="Times New Roman" w:cs="Times New Roman"/>
          <w:sz w:val="25"/>
          <w:szCs w:val="25"/>
        </w:rPr>
        <w:t>а період з 01 січня 2017 року до 23 вересня 2021 року суддя Кондратьєва Н.А. розглянула 287 справ про адміністративні правопорушення, передбачені статтею 130 Кодексу України про адміністративні правопорушення (далі – КУпАП, Кодекс), з яких: у 19 справах осіб було звільнено від адміністративної відповідальності з переданням матеріалів на розгляд трудових колективів; у 9 справах провадження закрито у зв’язку із закінченням строків накладення стягнення.</w:t>
      </w:r>
    </w:p>
    <w:p w:rsidR="00AC75B9" w:rsidRDefault="005459A1" w:rsidP="00AC75B9">
      <w:pPr>
        <w:pStyle w:val="a5"/>
        <w:ind w:firstLine="709"/>
        <w:jc w:val="both"/>
        <w:rPr>
          <w:rFonts w:ascii="Times New Roman" w:hAnsi="Times New Roman" w:cs="Times New Roman"/>
          <w:sz w:val="25"/>
          <w:szCs w:val="25"/>
        </w:rPr>
      </w:pPr>
      <w:r>
        <w:rPr>
          <w:rFonts w:ascii="Times New Roman" w:hAnsi="Times New Roman" w:cs="Times New Roman"/>
          <w:sz w:val="25"/>
          <w:szCs w:val="25"/>
        </w:rPr>
        <w:t>Стосовно</w:t>
      </w:r>
      <w:r w:rsidR="00AC75B9" w:rsidRPr="00727E2B">
        <w:rPr>
          <w:rFonts w:ascii="Times New Roman" w:hAnsi="Times New Roman" w:cs="Times New Roman"/>
          <w:sz w:val="25"/>
          <w:szCs w:val="25"/>
        </w:rPr>
        <w:t xml:space="preserve"> 19 судових справ (№№ 460/1335/17, 460/1650/17, 460/973/18, 460/974/17, 460/836/17, 460/2186/17, 460/1772/18, 460/5041/18, 944/2048/20, 944/2283/20, 460/1181/17, 460/697/17, 460/3192/17, 460/1960/17, 460/1388/71, 460/4984/17, 460/603/18, 460/45/19, 460/43/17), у яких осіб звільнено від адміністративної відповідальності з переданням матеріалів на розгляд трудових колективів для вирішення питання про застосування заходів громадського впливу, ГРД зазначає таке.</w:t>
      </w:r>
    </w:p>
    <w:p w:rsidR="00AC75B9" w:rsidRDefault="00AC75B9" w:rsidP="00AC75B9">
      <w:pPr>
        <w:pStyle w:val="a5"/>
        <w:ind w:firstLine="709"/>
        <w:jc w:val="both"/>
        <w:rPr>
          <w:rFonts w:ascii="Times New Roman" w:hAnsi="Times New Roman" w:cs="Times New Roman"/>
          <w:sz w:val="25"/>
          <w:szCs w:val="25"/>
        </w:rPr>
      </w:pPr>
      <w:r w:rsidRPr="00727E2B">
        <w:rPr>
          <w:rFonts w:ascii="Times New Roman" w:hAnsi="Times New Roman" w:cs="Times New Roman"/>
          <w:sz w:val="25"/>
          <w:szCs w:val="25"/>
        </w:rPr>
        <w:t>У постановах у цих справах суддя здебільшого керувалась схожими аргументами для звільнення осіб від відповідальності, так</w:t>
      </w:r>
      <w:r w:rsidR="005459A1">
        <w:rPr>
          <w:rFonts w:ascii="Times New Roman" w:hAnsi="Times New Roman" w:cs="Times New Roman"/>
          <w:sz w:val="25"/>
          <w:szCs w:val="25"/>
        </w:rPr>
        <w:t>ими</w:t>
      </w:r>
      <w:r w:rsidRPr="00727E2B">
        <w:rPr>
          <w:rFonts w:ascii="Times New Roman" w:hAnsi="Times New Roman" w:cs="Times New Roman"/>
          <w:sz w:val="25"/>
          <w:szCs w:val="25"/>
        </w:rPr>
        <w:t xml:space="preserve"> як: «особа є членом трудового колективу», «позитивно характеризується», «використовує автомобіль для виконання службових обов’язків», «не вчиняв неправ</w:t>
      </w:r>
      <w:r w:rsidR="005459A1">
        <w:rPr>
          <w:rFonts w:ascii="Times New Roman" w:hAnsi="Times New Roman" w:cs="Times New Roman"/>
          <w:sz w:val="25"/>
          <w:szCs w:val="25"/>
        </w:rPr>
        <w:t>омірних дій під час роботи»,</w:t>
      </w:r>
      <w:r w:rsidRPr="00727E2B">
        <w:rPr>
          <w:rFonts w:ascii="Times New Roman" w:hAnsi="Times New Roman" w:cs="Times New Roman"/>
          <w:sz w:val="25"/>
          <w:szCs w:val="25"/>
        </w:rPr>
        <w:t xml:space="preserve"> «колектив зобов’язався провести виховні заходи».</w:t>
      </w:r>
    </w:p>
    <w:p w:rsidR="00AC75B9" w:rsidRDefault="00AC75B9" w:rsidP="00AC75B9">
      <w:pPr>
        <w:pStyle w:val="a5"/>
        <w:ind w:firstLine="709"/>
        <w:jc w:val="both"/>
        <w:rPr>
          <w:rFonts w:ascii="Times New Roman" w:hAnsi="Times New Roman" w:cs="Times New Roman"/>
          <w:sz w:val="25"/>
          <w:szCs w:val="25"/>
        </w:rPr>
      </w:pPr>
      <w:r w:rsidRPr="00727E2B">
        <w:rPr>
          <w:rFonts w:ascii="Times New Roman" w:hAnsi="Times New Roman" w:cs="Times New Roman"/>
          <w:sz w:val="25"/>
          <w:szCs w:val="25"/>
        </w:rPr>
        <w:t>Проте ГРД звертає увагу Комісії на те, що в цих постановах відсутній опис доказів, які підтверджують: використання транспортних засобів для виконання службових обов’язків, обсяг службових обов’язків, посад, які обіймали водії, а також неповно досліджено докази членства водіїв у громадських організаціях та їхні трудові відносини із колективами, яким передавалися матеріали на розгляд для застосування заходів громадського впливу.</w:t>
      </w:r>
    </w:p>
    <w:p w:rsidR="00AC75B9" w:rsidRDefault="00AC75B9" w:rsidP="00AC75B9">
      <w:pPr>
        <w:pStyle w:val="a5"/>
        <w:ind w:firstLine="709"/>
        <w:jc w:val="both"/>
        <w:rPr>
          <w:rFonts w:ascii="Times New Roman" w:hAnsi="Times New Roman" w:cs="Times New Roman"/>
          <w:sz w:val="25"/>
          <w:szCs w:val="25"/>
        </w:rPr>
      </w:pPr>
      <w:r w:rsidRPr="00727E2B">
        <w:rPr>
          <w:rFonts w:ascii="Times New Roman" w:hAnsi="Times New Roman" w:cs="Times New Roman"/>
          <w:sz w:val="25"/>
          <w:szCs w:val="25"/>
        </w:rPr>
        <w:t>Стосовно 9 судових справ, у яких провадження було закрито у зв’язку із закінченням строків накладення адміністративного стягнення (№№ 460/2745/18, 460/4049/17, 460/2574/17, 460/2462/18, 460/2736/18, 460/1846/17, 460/4009/17, 460/4186/18, 460/622/19), ГРД повідомила, що у двох з них постанови про повернення справ для належного оформлення були ухвалені більше ніж через два місяці після їх розподілу судді. У семи інших випадках неможливо встановити причини відкладення, оскільки матеріали справи відсутні, а в постановах таку інформацію не зазначено. Згідно із відомостями в обліково-статистичній картці ГРД встановлено, що причиною відкладення слугували «інші причини».</w:t>
      </w:r>
    </w:p>
    <w:p w:rsidR="00AC75B9" w:rsidRPr="00727E2B" w:rsidRDefault="00AC75B9" w:rsidP="00AC75B9">
      <w:pPr>
        <w:pStyle w:val="a5"/>
        <w:ind w:firstLine="709"/>
        <w:jc w:val="both"/>
        <w:rPr>
          <w:rFonts w:ascii="Times New Roman" w:hAnsi="Times New Roman" w:cs="Times New Roman"/>
          <w:sz w:val="25"/>
          <w:szCs w:val="25"/>
        </w:rPr>
      </w:pPr>
      <w:r w:rsidRPr="00727E2B">
        <w:rPr>
          <w:rFonts w:ascii="Times New Roman" w:hAnsi="Times New Roman" w:cs="Times New Roman"/>
          <w:sz w:val="25"/>
          <w:szCs w:val="25"/>
        </w:rPr>
        <w:t>Таким чином, ГРД просить урахувати, що поведінка судді у процесі розгляду справ призвела до уникнення правопорушниками відповідальності внаслідок закриття провадження у справах.</w:t>
      </w:r>
    </w:p>
    <w:p w:rsidR="002A4C4F" w:rsidRPr="00E80D22" w:rsidRDefault="002A4C4F" w:rsidP="00E80D22">
      <w:pPr>
        <w:pStyle w:val="a5"/>
        <w:jc w:val="both"/>
        <w:rPr>
          <w:rFonts w:ascii="Times New Roman" w:hAnsi="Times New Roman" w:cs="Times New Roman"/>
          <w:sz w:val="25"/>
          <w:szCs w:val="25"/>
        </w:rPr>
      </w:pPr>
    </w:p>
    <w:p w:rsidR="009B72D2" w:rsidRPr="00E80D22" w:rsidRDefault="00D94ADE" w:rsidP="00E80D22">
      <w:pPr>
        <w:shd w:val="clear" w:color="auto" w:fill="FFFFFF"/>
        <w:spacing w:after="0" w:line="240" w:lineRule="auto"/>
        <w:ind w:firstLine="708"/>
        <w:jc w:val="both"/>
        <w:rPr>
          <w:rFonts w:ascii="Times New Roman" w:hAnsi="Times New Roman"/>
          <w:sz w:val="25"/>
          <w:szCs w:val="25"/>
          <w:shd w:val="clear" w:color="auto" w:fill="FFFFFF"/>
        </w:rPr>
      </w:pPr>
      <w:r w:rsidRPr="00E80D22">
        <w:rPr>
          <w:rFonts w:ascii="Times New Roman" w:hAnsi="Times New Roman"/>
          <w:b/>
          <w:bCs/>
          <w:sz w:val="25"/>
          <w:szCs w:val="25"/>
        </w:rPr>
        <w:t>Джерела права та їх застосування.</w:t>
      </w:r>
    </w:p>
    <w:p w:rsidR="00CA0EA8" w:rsidRPr="00E80D22" w:rsidRDefault="00CA0EA8" w:rsidP="00E80D22">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E80D22">
        <w:rPr>
          <w:rFonts w:ascii="Times New Roman" w:eastAsia="Times New Roman" w:hAnsi="Times New Roman"/>
          <w:color w:val="000000" w:themeColor="text1"/>
          <w:sz w:val="25"/>
          <w:szCs w:val="25"/>
          <w:lang w:eastAsia="uk-UA"/>
        </w:rPr>
        <w:t xml:space="preserve">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w:t>
      </w:r>
      <w:r w:rsidRPr="00E80D22">
        <w:rPr>
          <w:rFonts w:ascii="Times New Roman" w:eastAsia="Times New Roman" w:hAnsi="Times New Roman"/>
          <w:color w:val="000000" w:themeColor="text1"/>
          <w:sz w:val="25"/>
          <w:szCs w:val="25"/>
          <w:lang w:eastAsia="uk-UA"/>
        </w:rPr>
        <w:lastRenderedPageBreak/>
        <w:t>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9229C4" w:rsidRPr="00E80D22" w:rsidRDefault="00CA0EA8" w:rsidP="00E80D22">
      <w:pPr>
        <w:shd w:val="clear" w:color="auto" w:fill="FFFFFF"/>
        <w:spacing w:after="0" w:line="240" w:lineRule="auto"/>
        <w:ind w:firstLine="708"/>
        <w:jc w:val="both"/>
        <w:rPr>
          <w:rFonts w:ascii="Times New Roman" w:eastAsia="Times New Roman" w:hAnsi="Times New Roman"/>
          <w:sz w:val="25"/>
          <w:szCs w:val="25"/>
          <w:lang w:eastAsia="uk-UA"/>
        </w:rPr>
      </w:pPr>
      <w:r w:rsidRPr="00E80D22">
        <w:rPr>
          <w:rFonts w:ascii="Times New Roman" w:eastAsia="Times New Roman" w:hAnsi="Times New Roman"/>
          <w:color w:val="000000" w:themeColor="text1"/>
          <w:sz w:val="25"/>
          <w:szCs w:val="25"/>
          <w:lang w:eastAsia="uk-UA"/>
        </w:rPr>
        <w:t>Пунктом 20 розділу XII «Прикінцеві та перехідні</w:t>
      </w:r>
      <w:r w:rsidR="002632ED" w:rsidRPr="00E80D22">
        <w:rPr>
          <w:rFonts w:ascii="Times New Roman" w:eastAsia="Times New Roman" w:hAnsi="Times New Roman"/>
          <w:color w:val="000000" w:themeColor="text1"/>
          <w:sz w:val="25"/>
          <w:szCs w:val="25"/>
          <w:lang w:eastAsia="uk-UA"/>
        </w:rPr>
        <w:t xml:space="preserve"> положення» </w:t>
      </w:r>
      <w:r w:rsidR="00EE2336">
        <w:rPr>
          <w:rFonts w:ascii="Times New Roman" w:eastAsia="Times New Roman" w:hAnsi="Times New Roman"/>
          <w:color w:val="000000" w:themeColor="text1"/>
          <w:sz w:val="25"/>
          <w:szCs w:val="25"/>
          <w:lang w:eastAsia="uk-UA"/>
        </w:rPr>
        <w:t>Закону України «</w:t>
      </w:r>
      <w:r w:rsidR="00EE2336" w:rsidRPr="00EE2336">
        <w:rPr>
          <w:rFonts w:ascii="Times New Roman" w:eastAsia="Times New Roman" w:hAnsi="Times New Roman"/>
          <w:color w:val="000000" w:themeColor="text1"/>
          <w:sz w:val="25"/>
          <w:szCs w:val="25"/>
          <w:lang w:eastAsia="uk-UA"/>
        </w:rPr>
        <w:t>Про судоустрій і статус суддів</w:t>
      </w:r>
      <w:r w:rsidR="00EE2336">
        <w:rPr>
          <w:rFonts w:ascii="Times New Roman" w:eastAsia="Times New Roman" w:hAnsi="Times New Roman"/>
          <w:color w:val="000000" w:themeColor="text1"/>
          <w:sz w:val="25"/>
          <w:szCs w:val="25"/>
          <w:lang w:eastAsia="uk-UA"/>
        </w:rPr>
        <w:t>» (далі – Закон)</w:t>
      </w:r>
      <w:r w:rsidR="002632ED" w:rsidRPr="00E80D22">
        <w:rPr>
          <w:rFonts w:ascii="Times New Roman" w:eastAsia="Times New Roman" w:hAnsi="Times New Roman"/>
          <w:color w:val="000000" w:themeColor="text1"/>
          <w:sz w:val="25"/>
          <w:szCs w:val="25"/>
          <w:lang w:eastAsia="uk-UA"/>
        </w:rPr>
        <w:t xml:space="preserve"> </w:t>
      </w:r>
      <w:r w:rsidRPr="00E80D22">
        <w:rPr>
          <w:rFonts w:ascii="Times New Roman" w:eastAsia="Times New Roman" w:hAnsi="Times New Roman"/>
          <w:color w:val="000000" w:themeColor="text1"/>
          <w:sz w:val="25"/>
          <w:szCs w:val="25"/>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w:t>
      </w:r>
      <w:r w:rsidR="00926CB2" w:rsidRPr="00E80D22">
        <w:rPr>
          <w:rFonts w:ascii="Times New Roman" w:eastAsia="Times New Roman" w:hAnsi="Times New Roman"/>
          <w:color w:val="000000" w:themeColor="text1"/>
          <w:sz w:val="25"/>
          <w:szCs w:val="25"/>
          <w:lang w:eastAsia="uk-UA"/>
        </w:rPr>
        <w:t>ін до Конституції України (щодо</w:t>
      </w:r>
      <w:r w:rsidR="00926CB2" w:rsidRPr="00E80D22">
        <w:rPr>
          <w:rFonts w:ascii="Times New Roman" w:hAnsi="Times New Roman"/>
          <w:sz w:val="25"/>
          <w:szCs w:val="25"/>
        </w:rPr>
        <w:t> </w:t>
      </w:r>
      <w:r w:rsidRPr="00E80D22">
        <w:rPr>
          <w:rFonts w:ascii="Times New Roman" w:eastAsia="Times New Roman" w:hAnsi="Times New Roman"/>
          <w:color w:val="000000" w:themeColor="text1"/>
          <w:sz w:val="25"/>
          <w:szCs w:val="25"/>
          <w:lang w:eastAsia="uk-UA"/>
        </w:rPr>
        <w:t xml:space="preserve">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w:t>
      </w:r>
      <w:r w:rsidR="00600778" w:rsidRPr="00E80D22">
        <w:rPr>
          <w:rFonts w:ascii="Times New Roman" w:eastAsia="Times New Roman" w:hAnsi="Times New Roman"/>
          <w:color w:val="000000" w:themeColor="text1"/>
          <w:sz w:val="25"/>
          <w:szCs w:val="25"/>
          <w:lang w:eastAsia="uk-UA"/>
        </w:rPr>
        <w:t xml:space="preserve">внесення змін до Закону України </w:t>
      </w:r>
      <w:r w:rsidRPr="00E80D22">
        <w:rPr>
          <w:rFonts w:ascii="Times New Roman" w:eastAsia="Times New Roman" w:hAnsi="Times New Roman"/>
          <w:color w:val="000000" w:themeColor="text1"/>
          <w:sz w:val="25"/>
          <w:szCs w:val="25"/>
          <w:lang w:eastAsia="uk-UA"/>
        </w:rPr>
        <w:t xml:space="preserve">«Про </w:t>
      </w:r>
      <w:r w:rsidRPr="00E80D22">
        <w:rPr>
          <w:rFonts w:ascii="Times New Roman" w:eastAsia="Times New Roman" w:hAnsi="Times New Roman"/>
          <w:sz w:val="25"/>
          <w:szCs w:val="25"/>
          <w:lang w:eastAsia="uk-UA"/>
        </w:rPr>
        <w:t>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A0EA8" w:rsidRPr="00E80D22" w:rsidRDefault="00CA0EA8" w:rsidP="00E80D22">
      <w:pPr>
        <w:shd w:val="clear" w:color="auto" w:fill="FFFFFF"/>
        <w:spacing w:after="0" w:line="240" w:lineRule="auto"/>
        <w:ind w:firstLine="708"/>
        <w:jc w:val="both"/>
        <w:rPr>
          <w:rStyle w:val="ac"/>
          <w:rFonts w:ascii="Times New Roman" w:eastAsia="Times New Roman" w:hAnsi="Times New Roman"/>
          <w:b w:val="0"/>
          <w:bCs w:val="0"/>
          <w:sz w:val="25"/>
          <w:szCs w:val="25"/>
          <w:lang w:eastAsia="uk-UA"/>
        </w:rPr>
      </w:pPr>
      <w:r w:rsidRPr="00E80D22">
        <w:rPr>
          <w:rStyle w:val="ac"/>
          <w:rFonts w:ascii="Times New Roman" w:hAnsi="Times New Roman"/>
          <w:b w:val="0"/>
          <w:sz w:val="25"/>
          <w:szCs w:val="25"/>
        </w:rPr>
        <w:t>Відповідно до рішення Великої Палати Верховного Суду від 04 листопа</w:t>
      </w:r>
      <w:r w:rsidR="00151833" w:rsidRPr="00E80D22">
        <w:rPr>
          <w:rStyle w:val="ac"/>
          <w:rFonts w:ascii="Times New Roman" w:hAnsi="Times New Roman"/>
          <w:b w:val="0"/>
          <w:sz w:val="25"/>
          <w:szCs w:val="25"/>
        </w:rPr>
        <w:t>да 2020 </w:t>
      </w:r>
      <w:r w:rsidRPr="00E80D22">
        <w:rPr>
          <w:rStyle w:val="ac"/>
          <w:rFonts w:ascii="Times New Roman" w:hAnsi="Times New Roman"/>
          <w:b w:val="0"/>
          <w:sz w:val="25"/>
          <w:szCs w:val="25"/>
        </w:rPr>
        <w:t>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w:t>
      </w:r>
      <w:r w:rsidR="00151833" w:rsidRPr="00E80D22">
        <w:rPr>
          <w:rStyle w:val="ac"/>
          <w:rFonts w:ascii="Times New Roman" w:hAnsi="Times New Roman"/>
          <w:b w:val="0"/>
          <w:sz w:val="25"/>
          <w:szCs w:val="25"/>
        </w:rPr>
        <w:t>’</w:t>
      </w:r>
      <w:r w:rsidRPr="00E80D22">
        <w:rPr>
          <w:rStyle w:val="ac"/>
          <w:rFonts w:ascii="Times New Roman" w:hAnsi="Times New Roman"/>
          <w:b w:val="0"/>
          <w:sz w:val="25"/>
          <w:szCs w:val="25"/>
        </w:rPr>
        <w:t>язку з її реформуванням, були схвалені світовою спільнотою, у тому числі Венеційською комісією (пункти 98, 99).</w:t>
      </w:r>
    </w:p>
    <w:p w:rsidR="009B72D2" w:rsidRPr="00E80D22" w:rsidRDefault="00CA0EA8" w:rsidP="00E80D22">
      <w:pPr>
        <w:pStyle w:val="a5"/>
        <w:ind w:firstLine="708"/>
        <w:jc w:val="both"/>
        <w:rPr>
          <w:rStyle w:val="ac"/>
          <w:rFonts w:ascii="Times New Roman" w:hAnsi="Times New Roman" w:cs="Times New Roman"/>
          <w:b w:val="0"/>
          <w:sz w:val="25"/>
          <w:szCs w:val="25"/>
        </w:rPr>
      </w:pPr>
      <w:r w:rsidRPr="00E80D22">
        <w:rPr>
          <w:rStyle w:val="ac"/>
          <w:rFonts w:ascii="Times New Roman" w:hAnsi="Times New Roman" w:cs="Times New Roman"/>
          <w:b w:val="0"/>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CA0EA8" w:rsidRPr="00E80D22" w:rsidRDefault="00CA0EA8" w:rsidP="00E80D22">
      <w:pPr>
        <w:pStyle w:val="a5"/>
        <w:ind w:firstLine="708"/>
        <w:jc w:val="both"/>
        <w:rPr>
          <w:rStyle w:val="ac"/>
          <w:rFonts w:ascii="Times New Roman" w:hAnsi="Times New Roman" w:cs="Times New Roman"/>
          <w:b w:val="0"/>
          <w:sz w:val="25"/>
          <w:szCs w:val="25"/>
        </w:rPr>
      </w:pPr>
      <w:r w:rsidRPr="00E80D22">
        <w:rPr>
          <w:rStyle w:val="ac"/>
          <w:rFonts w:ascii="Times New Roman" w:hAnsi="Times New Roman" w:cs="Times New Roman"/>
          <w:b w:val="0"/>
          <w:sz w:val="25"/>
          <w:szCs w:val="25"/>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w:t>
      </w:r>
      <w:r w:rsidR="00AA15DA" w:rsidRPr="00E80D22">
        <w:rPr>
          <w:rStyle w:val="ac"/>
          <w:rFonts w:ascii="Times New Roman" w:hAnsi="Times New Roman" w:cs="Times New Roman"/>
          <w:b w:val="0"/>
          <w:sz w:val="25"/>
          <w:szCs w:val="25"/>
        </w:rPr>
        <w:t>ути застосовано до особи. Однак</w:t>
      </w:r>
      <w:r w:rsidR="00151833" w:rsidRPr="00E80D22">
        <w:rPr>
          <w:rStyle w:val="ac"/>
          <w:rFonts w:ascii="Times New Roman" w:hAnsi="Times New Roman" w:cs="Times New Roman"/>
          <w:b w:val="0"/>
          <w:sz w:val="25"/>
          <w:szCs w:val="25"/>
        </w:rPr>
        <w:t xml:space="preserve"> </w:t>
      </w:r>
      <w:r w:rsidRPr="00E80D22">
        <w:rPr>
          <w:rStyle w:val="ac"/>
          <w:rFonts w:ascii="Times New Roman" w:hAnsi="Times New Roman" w:cs="Times New Roman"/>
          <w:b w:val="0"/>
          <w:sz w:val="25"/>
          <w:szCs w:val="25"/>
        </w:rPr>
        <w:t>на відміну від дисциплінарного провадження</w:t>
      </w:r>
      <w:r w:rsidR="00151833" w:rsidRPr="00E80D22">
        <w:rPr>
          <w:rStyle w:val="ac"/>
          <w:rFonts w:ascii="Times New Roman" w:hAnsi="Times New Roman" w:cs="Times New Roman"/>
          <w:b w:val="0"/>
          <w:sz w:val="25"/>
          <w:szCs w:val="25"/>
        </w:rPr>
        <w:t xml:space="preserve"> </w:t>
      </w:r>
      <w:r w:rsidRPr="00E80D22">
        <w:rPr>
          <w:rStyle w:val="ac"/>
          <w:rFonts w:ascii="Times New Roman" w:hAnsi="Times New Roman" w:cs="Times New Roman"/>
          <w:b w:val="0"/>
          <w:sz w:val="25"/>
          <w:szCs w:val="25"/>
        </w:rPr>
        <w:t>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9B72D2" w:rsidRPr="00E80D22" w:rsidRDefault="00CA0EA8" w:rsidP="00E80D22">
      <w:pPr>
        <w:pStyle w:val="a5"/>
        <w:ind w:firstLine="708"/>
        <w:jc w:val="both"/>
        <w:rPr>
          <w:rStyle w:val="ac"/>
          <w:rFonts w:ascii="Times New Roman" w:hAnsi="Times New Roman" w:cs="Times New Roman"/>
          <w:b w:val="0"/>
          <w:sz w:val="25"/>
          <w:szCs w:val="25"/>
        </w:rPr>
      </w:pPr>
      <w:r w:rsidRPr="00E80D22">
        <w:rPr>
          <w:rStyle w:val="ac"/>
          <w:rFonts w:ascii="Times New Roman" w:hAnsi="Times New Roman" w:cs="Times New Roman"/>
          <w:b w:val="0"/>
          <w:sz w:val="25"/>
          <w:szCs w:val="25"/>
        </w:rPr>
        <w:t>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CA0EA8" w:rsidRPr="00E80D22" w:rsidRDefault="00CA0EA8" w:rsidP="00E80D22">
      <w:pPr>
        <w:pStyle w:val="a5"/>
        <w:ind w:firstLine="708"/>
        <w:jc w:val="both"/>
        <w:rPr>
          <w:rStyle w:val="ac"/>
          <w:rFonts w:ascii="Times New Roman" w:hAnsi="Times New Roman" w:cs="Times New Roman"/>
          <w:b w:val="0"/>
          <w:sz w:val="25"/>
          <w:szCs w:val="25"/>
        </w:rPr>
      </w:pPr>
      <w:r w:rsidRPr="00E80D22">
        <w:rPr>
          <w:rStyle w:val="ac"/>
          <w:rFonts w:ascii="Times New Roman" w:hAnsi="Times New Roman" w:cs="Times New Roman"/>
          <w:b w:val="0"/>
          <w:sz w:val="25"/>
          <w:szCs w:val="25"/>
        </w:rPr>
        <w:t xml:space="preserve">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w:t>
      </w:r>
      <w:r w:rsidRPr="00E80D22">
        <w:rPr>
          <w:rStyle w:val="ac"/>
          <w:rFonts w:ascii="Times New Roman" w:hAnsi="Times New Roman" w:cs="Times New Roman"/>
          <w:b w:val="0"/>
          <w:sz w:val="25"/>
          <w:szCs w:val="25"/>
        </w:rPr>
        <w:lastRenderedPageBreak/>
        <w:t>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9229C4" w:rsidRPr="00E80D22" w:rsidRDefault="00CA0EA8" w:rsidP="00E80D22">
      <w:pPr>
        <w:pStyle w:val="a5"/>
        <w:ind w:firstLine="708"/>
        <w:jc w:val="both"/>
        <w:rPr>
          <w:rStyle w:val="ac"/>
          <w:rFonts w:ascii="Times New Roman" w:hAnsi="Times New Roman" w:cs="Times New Roman"/>
          <w:b w:val="0"/>
          <w:sz w:val="25"/>
          <w:szCs w:val="25"/>
        </w:rPr>
      </w:pPr>
      <w:r w:rsidRPr="00E80D22">
        <w:rPr>
          <w:rStyle w:val="ac"/>
          <w:rFonts w:ascii="Times New Roman" w:hAnsi="Times New Roman" w:cs="Times New Roman"/>
          <w:b w:val="0"/>
          <w:sz w:val="25"/>
          <w:szCs w:val="25"/>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2E032B" w:rsidRPr="00E80D22" w:rsidRDefault="009229C4" w:rsidP="00E80D22">
      <w:pPr>
        <w:pStyle w:val="a5"/>
        <w:ind w:firstLine="708"/>
        <w:jc w:val="both"/>
        <w:rPr>
          <w:rStyle w:val="ac"/>
          <w:rFonts w:ascii="Times New Roman" w:hAnsi="Times New Roman" w:cs="Times New Roman"/>
          <w:b w:val="0"/>
          <w:sz w:val="25"/>
          <w:szCs w:val="25"/>
        </w:rPr>
      </w:pPr>
      <w:r w:rsidRPr="00E80D22">
        <w:rPr>
          <w:rStyle w:val="ac"/>
          <w:rFonts w:ascii="Times New Roman" w:hAnsi="Times New Roman" w:cs="Times New Roman"/>
          <w:b w:val="0"/>
          <w:sz w:val="25"/>
          <w:szCs w:val="25"/>
        </w:rPr>
        <w:t>Згідно з частиною першою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343FE" w:rsidRPr="00E80D22" w:rsidRDefault="009343FE" w:rsidP="00E80D22">
      <w:pPr>
        <w:pStyle w:val="a5"/>
        <w:ind w:firstLine="708"/>
        <w:jc w:val="both"/>
        <w:rPr>
          <w:rFonts w:ascii="Times New Roman" w:eastAsia="Arsenal" w:hAnsi="Times New Roman" w:cs="Times New Roman"/>
          <w:sz w:val="25"/>
          <w:szCs w:val="25"/>
        </w:rPr>
      </w:pPr>
      <w:r w:rsidRPr="00E80D22">
        <w:rPr>
          <w:rFonts w:ascii="Times New Roman" w:eastAsia="Times New Roman" w:hAnsi="Times New Roman" w:cs="Times New Roman"/>
          <w:sz w:val="25"/>
          <w:szCs w:val="25"/>
        </w:rPr>
        <w:t>Пунктом 124 Регламенту Вищої кваліфікаційної комісії суддів України, затвердженого рішенням Вищої кваліфікаційної комісії суддів України від 13 жовтня</w:t>
      </w:r>
      <w:r w:rsidR="00600778" w:rsidRPr="00E80D22">
        <w:rPr>
          <w:rFonts w:ascii="Times New Roman" w:eastAsia="Times New Roman" w:hAnsi="Times New Roman" w:cs="Times New Roman"/>
          <w:sz w:val="25"/>
          <w:szCs w:val="25"/>
        </w:rPr>
        <w:t xml:space="preserve"> </w:t>
      </w:r>
      <w:r w:rsidR="00343784" w:rsidRPr="00E80D22">
        <w:rPr>
          <w:rFonts w:ascii="Times New Roman" w:eastAsia="Times New Roman" w:hAnsi="Times New Roman" w:cs="Times New Roman"/>
          <w:sz w:val="25"/>
          <w:szCs w:val="25"/>
        </w:rPr>
        <w:t>2016 </w:t>
      </w:r>
      <w:r w:rsidRPr="00E80D22">
        <w:rPr>
          <w:rFonts w:ascii="Times New Roman" w:eastAsia="Times New Roman" w:hAnsi="Times New Roman" w:cs="Times New Roman"/>
          <w:sz w:val="25"/>
          <w:szCs w:val="25"/>
        </w:rPr>
        <w:t>року № 81/зп-16 (у редакції рішення Вищої кваліфі</w:t>
      </w:r>
      <w:r w:rsidR="00600778" w:rsidRPr="00E80D22">
        <w:rPr>
          <w:rFonts w:ascii="Times New Roman" w:eastAsia="Times New Roman" w:hAnsi="Times New Roman" w:cs="Times New Roman"/>
          <w:sz w:val="25"/>
          <w:szCs w:val="25"/>
        </w:rPr>
        <w:t xml:space="preserve">каційної комісії суддів України </w:t>
      </w:r>
      <w:r w:rsidR="00877391">
        <w:rPr>
          <w:rFonts w:ascii="Times New Roman" w:eastAsia="Times New Roman" w:hAnsi="Times New Roman" w:cs="Times New Roman"/>
          <w:sz w:val="25"/>
          <w:szCs w:val="25"/>
        </w:rPr>
        <w:t xml:space="preserve">від 19 </w:t>
      </w:r>
      <w:r w:rsidRPr="00E80D22">
        <w:rPr>
          <w:rFonts w:ascii="Times New Roman" w:eastAsia="Times New Roman" w:hAnsi="Times New Roman" w:cs="Times New Roman"/>
          <w:sz w:val="25"/>
          <w:szCs w:val="25"/>
        </w:rPr>
        <w:t>жовтня 2023 року № 119/зп-23, зі змінами) (далі – Регламент), визначено,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 88 Закону.</w:t>
      </w:r>
      <w:r w:rsidR="00333044" w:rsidRPr="00E80D22">
        <w:rPr>
          <w:rFonts w:ascii="Times New Roman" w:eastAsia="Times New Roman" w:hAnsi="Times New Roman" w:cs="Times New Roman"/>
          <w:sz w:val="25"/>
          <w:szCs w:val="25"/>
        </w:rPr>
        <w:t xml:space="preserve"> </w:t>
      </w:r>
      <w:r w:rsidRPr="00E80D22">
        <w:rPr>
          <w:rFonts w:ascii="Times New Roman" w:eastAsia="Arsenal" w:hAnsi="Times New Roman" w:cs="Times New Roman"/>
          <w:sz w:val="25"/>
          <w:szCs w:val="25"/>
        </w:rPr>
        <w:t>Відповідно до пункту 126 Регламенту в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ГРД, пояснення судді (кандидата на посаду судді), інші обставини, документи та матеріали.</w:t>
      </w:r>
    </w:p>
    <w:p w:rsidR="009343FE" w:rsidRPr="00E80D22" w:rsidRDefault="009343FE" w:rsidP="00E80D22">
      <w:pPr>
        <w:pStyle w:val="a5"/>
        <w:ind w:firstLine="708"/>
        <w:jc w:val="both"/>
        <w:rPr>
          <w:rFonts w:ascii="Times New Roman" w:eastAsia="Arsenal" w:hAnsi="Times New Roman" w:cs="Times New Roman"/>
          <w:sz w:val="25"/>
          <w:szCs w:val="25"/>
        </w:rPr>
      </w:pPr>
      <w:r w:rsidRPr="00E80D22">
        <w:rPr>
          <w:rFonts w:ascii="Times New Roman" w:eastAsia="Arsenal" w:hAnsi="Times New Roman" w:cs="Times New Roman"/>
          <w:sz w:val="25"/>
          <w:szCs w:val="25"/>
        </w:rPr>
        <w:t>Пунктом 128 Регламенту передбачено,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9343FE" w:rsidRPr="00E80D22" w:rsidRDefault="009343FE" w:rsidP="00E80D22">
      <w:pPr>
        <w:pStyle w:val="a5"/>
        <w:ind w:firstLine="708"/>
        <w:jc w:val="both"/>
        <w:rPr>
          <w:rFonts w:ascii="Times New Roman" w:eastAsia="Arsenal" w:hAnsi="Times New Roman" w:cs="Times New Roman"/>
          <w:sz w:val="25"/>
          <w:szCs w:val="25"/>
        </w:rPr>
      </w:pPr>
      <w:r w:rsidRPr="00E80D22">
        <w:rPr>
          <w:rFonts w:ascii="Times New Roman" w:eastAsia="Arsenal" w:hAnsi="Times New Roman" w:cs="Times New Roman"/>
          <w:sz w:val="25"/>
          <w:szCs w:val="25"/>
        </w:rPr>
        <w:t>- про підтвердження здатності судді (кандидата на посаду судді) здійснювати правосуддя у відповідному суді (відповідності судді займа</w:t>
      </w:r>
      <w:r w:rsidR="00877391">
        <w:rPr>
          <w:rFonts w:ascii="Times New Roman" w:eastAsia="Arsenal" w:hAnsi="Times New Roman" w:cs="Times New Roman"/>
          <w:sz w:val="25"/>
          <w:szCs w:val="25"/>
        </w:rPr>
        <w:t>ній посаді);</w:t>
      </w:r>
    </w:p>
    <w:p w:rsidR="002E032B" w:rsidRPr="00E80D22" w:rsidRDefault="009343FE" w:rsidP="00E80D22">
      <w:pPr>
        <w:pStyle w:val="a5"/>
        <w:ind w:firstLine="708"/>
        <w:jc w:val="both"/>
        <w:rPr>
          <w:rFonts w:ascii="Times New Roman" w:eastAsia="Arsenal" w:hAnsi="Times New Roman" w:cs="Times New Roman"/>
          <w:sz w:val="25"/>
          <w:szCs w:val="25"/>
        </w:rPr>
      </w:pPr>
      <w:r w:rsidRPr="00E80D22">
        <w:rPr>
          <w:rFonts w:ascii="Times New Roman" w:eastAsia="Arsenal" w:hAnsi="Times New Roman" w:cs="Times New Roman"/>
          <w:sz w:val="25"/>
          <w:szCs w:val="25"/>
        </w:rPr>
        <w:t>- про непідтвердження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rsidR="002E032B" w:rsidRPr="00E80D22" w:rsidRDefault="009343FE" w:rsidP="00E80D22">
      <w:pPr>
        <w:pStyle w:val="a5"/>
        <w:ind w:firstLine="708"/>
        <w:jc w:val="both"/>
        <w:rPr>
          <w:rFonts w:ascii="Times New Roman" w:eastAsia="Arsenal" w:hAnsi="Times New Roman" w:cs="Times New Roman"/>
          <w:sz w:val="25"/>
          <w:szCs w:val="25"/>
        </w:rPr>
      </w:pPr>
      <w:r w:rsidRPr="00E80D22">
        <w:rPr>
          <w:rFonts w:ascii="Times New Roman" w:eastAsia="Arsenal" w:hAnsi="Times New Roman" w:cs="Times New Roman"/>
          <w:sz w:val="25"/>
          <w:szCs w:val="25"/>
        </w:rPr>
        <w:t>Пунктом 34 розділу ІІІ «Порядок проведення кваліфікаційного оцінювання»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w:t>
      </w:r>
      <w:r w:rsidR="00343784" w:rsidRPr="00E80D22">
        <w:rPr>
          <w:rFonts w:ascii="Times New Roman" w:eastAsia="Arsenal" w:hAnsi="Times New Roman" w:cs="Times New Roman"/>
          <w:sz w:val="25"/>
          <w:szCs w:val="25"/>
        </w:rPr>
        <w:t>нням Комісії від 03 листопада 2016</w:t>
      </w:r>
      <w:r w:rsidRPr="00E80D22">
        <w:rPr>
          <w:rFonts w:ascii="Times New Roman" w:eastAsia="Arsenal" w:hAnsi="Times New Roman" w:cs="Times New Roman"/>
          <w:sz w:val="25"/>
          <w:szCs w:val="25"/>
        </w:rPr>
        <w:t xml:space="preserve"> року № 143/зп-16 (у редакції рішення Комісії від 13 лютого 20</w:t>
      </w:r>
      <w:r w:rsidR="00877391">
        <w:rPr>
          <w:rFonts w:ascii="Times New Roman" w:eastAsia="Arsenal" w:hAnsi="Times New Roman" w:cs="Times New Roman"/>
          <w:sz w:val="25"/>
          <w:szCs w:val="25"/>
        </w:rPr>
        <w:t xml:space="preserve">18 року № 20/зп-18, зі змінами), </w:t>
      </w:r>
      <w:r w:rsidRPr="00E80D22">
        <w:rPr>
          <w:rFonts w:ascii="Times New Roman" w:eastAsia="Arsenal" w:hAnsi="Times New Roman" w:cs="Times New Roman"/>
          <w:sz w:val="25"/>
          <w:szCs w:val="25"/>
        </w:rPr>
        <w:t>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непідтвердження відповідності судді критеріям професійної етики та доброчесності – також мотиви його прийняття або відхилення.</w:t>
      </w:r>
    </w:p>
    <w:p w:rsidR="001F7AB0" w:rsidRPr="00E80D22" w:rsidRDefault="001F7AB0" w:rsidP="00E80D22">
      <w:pPr>
        <w:spacing w:after="0" w:line="240" w:lineRule="auto"/>
        <w:ind w:firstLine="709"/>
        <w:jc w:val="both"/>
        <w:rPr>
          <w:rFonts w:ascii="Times New Roman" w:hAnsi="Times New Roman"/>
          <w:sz w:val="25"/>
          <w:szCs w:val="25"/>
        </w:rPr>
      </w:pPr>
      <w:r w:rsidRPr="00E80D22">
        <w:rPr>
          <w:rFonts w:ascii="Times New Roman" w:hAnsi="Times New Roman"/>
          <w:sz w:val="25"/>
          <w:szCs w:val="25"/>
        </w:rPr>
        <w:lastRenderedPageBreak/>
        <w:t xml:space="preserve">Відповідно до абзацу шостого пункту 13 розділу III «Прикінцеві та перехідні положення» Закону України «Про Вищу раду правосуддя» від 21 грудня 2016 року № 1798-VIII за результатами кваліфікаційного оцінювання суддя, призначений на посаду строком на п’ять років до набрання чинності </w:t>
      </w:r>
      <w:hyperlink r:id="rId9" w:tgtFrame="_blank" w:history="1">
        <w:r w:rsidRPr="00E80D22">
          <w:rPr>
            <w:rStyle w:val="ad"/>
            <w:rFonts w:ascii="Times New Roman" w:hAnsi="Times New Roman"/>
            <w:color w:val="auto"/>
            <w:sz w:val="25"/>
            <w:szCs w:val="25"/>
            <w:u w:val="none"/>
          </w:rPr>
          <w:t>Законом України</w:t>
        </w:r>
      </w:hyperlink>
      <w:r w:rsidRPr="00E80D22">
        <w:rPr>
          <w:rFonts w:ascii="Times New Roman" w:hAnsi="Times New Roman"/>
          <w:sz w:val="25"/>
          <w:szCs w:val="25"/>
        </w:rPr>
        <w:t xml:space="preserve">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w:t>
      </w:r>
      <w:hyperlink r:id="rId10" w:anchor="n5316" w:tgtFrame="_blank" w:history="1">
        <w:r w:rsidRPr="00E80D22">
          <w:rPr>
            <w:rStyle w:val="ad"/>
            <w:rFonts w:ascii="Times New Roman" w:hAnsi="Times New Roman"/>
            <w:color w:val="auto"/>
            <w:sz w:val="25"/>
            <w:szCs w:val="25"/>
            <w:u w:val="none"/>
          </w:rPr>
          <w:t>підпунктами 2</w:t>
        </w:r>
      </w:hyperlink>
      <w:r w:rsidRPr="00E80D22">
        <w:rPr>
          <w:rFonts w:ascii="Times New Roman" w:hAnsi="Times New Roman"/>
          <w:sz w:val="25"/>
          <w:szCs w:val="25"/>
        </w:rPr>
        <w:t xml:space="preserve"> та </w:t>
      </w:r>
      <w:hyperlink r:id="rId11" w:anchor="n5318" w:tgtFrame="_blank" w:history="1">
        <w:r w:rsidRPr="00E80D22">
          <w:rPr>
            <w:rStyle w:val="ad"/>
            <w:rFonts w:ascii="Times New Roman" w:hAnsi="Times New Roman"/>
            <w:color w:val="auto"/>
            <w:sz w:val="25"/>
            <w:szCs w:val="25"/>
            <w:u w:val="none"/>
          </w:rPr>
          <w:t>4</w:t>
        </w:r>
      </w:hyperlink>
      <w:r w:rsidRPr="00E80D22">
        <w:rPr>
          <w:rFonts w:ascii="Times New Roman" w:hAnsi="Times New Roman"/>
          <w:sz w:val="25"/>
          <w:szCs w:val="25"/>
        </w:rPr>
        <w:t xml:space="preserve"> пункту</w:t>
      </w:r>
      <w:r w:rsidR="005C432F">
        <w:rPr>
          <w:rFonts w:ascii="Times New Roman" w:hAnsi="Times New Roman"/>
          <w:sz w:val="25"/>
          <w:szCs w:val="25"/>
        </w:rPr>
        <w:t xml:space="preserve"> 16-</w:t>
      </w:r>
      <w:r w:rsidRPr="00E80D22">
        <w:rPr>
          <w:rFonts w:ascii="Times New Roman" w:hAnsi="Times New Roman"/>
          <w:sz w:val="25"/>
          <w:szCs w:val="25"/>
        </w:rPr>
        <w:t>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1F7AB0" w:rsidRPr="00E80D22" w:rsidRDefault="001F7AB0" w:rsidP="00E80D22">
      <w:pPr>
        <w:spacing w:after="0" w:line="240" w:lineRule="auto"/>
        <w:ind w:firstLine="709"/>
        <w:jc w:val="both"/>
        <w:rPr>
          <w:rFonts w:ascii="Times New Roman" w:hAnsi="Times New Roman"/>
          <w:sz w:val="25"/>
          <w:szCs w:val="25"/>
        </w:rPr>
      </w:pPr>
      <w:r w:rsidRPr="00E80D22">
        <w:rPr>
          <w:rFonts w:ascii="Times New Roman" w:hAnsi="Times New Roman"/>
          <w:sz w:val="25"/>
          <w:szCs w:val="25"/>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9B72D2" w:rsidRPr="00E80D22" w:rsidRDefault="009B72D2" w:rsidP="00E80D22">
      <w:pPr>
        <w:shd w:val="clear" w:color="auto" w:fill="FFFFFF"/>
        <w:spacing w:after="0" w:line="240" w:lineRule="auto"/>
        <w:ind w:firstLine="708"/>
        <w:jc w:val="both"/>
        <w:rPr>
          <w:rFonts w:ascii="Times New Roman" w:hAnsi="Times New Roman"/>
          <w:b/>
          <w:sz w:val="25"/>
          <w:szCs w:val="25"/>
        </w:rPr>
      </w:pPr>
    </w:p>
    <w:p w:rsidR="00D7497E" w:rsidRPr="00E80D22" w:rsidRDefault="00D7497E" w:rsidP="00E80D22">
      <w:pPr>
        <w:spacing w:after="0" w:line="240" w:lineRule="auto"/>
        <w:ind w:firstLine="709"/>
        <w:jc w:val="both"/>
        <w:rPr>
          <w:rFonts w:ascii="Times New Roman" w:hAnsi="Times New Roman"/>
          <w:bCs/>
          <w:sz w:val="25"/>
          <w:szCs w:val="25"/>
        </w:rPr>
      </w:pPr>
      <w:r w:rsidRPr="00E80D22">
        <w:rPr>
          <w:rFonts w:ascii="Times New Roman" w:eastAsia="Times New Roman" w:hAnsi="Times New Roman"/>
          <w:b/>
          <w:sz w:val="25"/>
          <w:szCs w:val="25"/>
        </w:rPr>
        <w:t>Мотиви, якими керується Комісія при ухваленні рішення.</w:t>
      </w:r>
    </w:p>
    <w:p w:rsidR="00220391" w:rsidRPr="00E80D22" w:rsidRDefault="00F218C6" w:rsidP="00FD7A99">
      <w:pPr>
        <w:shd w:val="clear" w:color="auto" w:fill="FFFFFF"/>
        <w:spacing w:after="0" w:line="240" w:lineRule="auto"/>
        <w:ind w:firstLine="708"/>
        <w:jc w:val="both"/>
        <w:rPr>
          <w:rFonts w:ascii="Times New Roman" w:hAnsi="Times New Roman"/>
          <w:sz w:val="25"/>
          <w:szCs w:val="25"/>
        </w:rPr>
      </w:pPr>
      <w:r w:rsidRPr="00E80D22">
        <w:rPr>
          <w:rFonts w:ascii="Times New Roman" w:hAnsi="Times New Roman"/>
          <w:sz w:val="25"/>
          <w:szCs w:val="25"/>
        </w:rPr>
        <w:t xml:space="preserve">Рішенням Комісії у складі колегії </w:t>
      </w:r>
      <w:r w:rsidRPr="0032587C">
        <w:rPr>
          <w:rFonts w:ascii="Times New Roman" w:hAnsi="Times New Roman"/>
          <w:sz w:val="25"/>
          <w:szCs w:val="25"/>
        </w:rPr>
        <w:t xml:space="preserve">від </w:t>
      </w:r>
      <w:r w:rsidR="00FD7A99" w:rsidRPr="0032587C">
        <w:rPr>
          <w:rFonts w:ascii="Times New Roman" w:hAnsi="Times New Roman"/>
          <w:sz w:val="25"/>
          <w:szCs w:val="25"/>
        </w:rPr>
        <w:t>17</w:t>
      </w:r>
      <w:r w:rsidRPr="0032587C">
        <w:rPr>
          <w:rFonts w:ascii="Times New Roman" w:hAnsi="Times New Roman"/>
          <w:sz w:val="25"/>
          <w:szCs w:val="25"/>
        </w:rPr>
        <w:t xml:space="preserve"> </w:t>
      </w:r>
      <w:r w:rsidR="00FD7A99" w:rsidRPr="0032587C">
        <w:rPr>
          <w:rFonts w:ascii="Times New Roman" w:hAnsi="Times New Roman"/>
          <w:sz w:val="25"/>
          <w:szCs w:val="25"/>
        </w:rPr>
        <w:t>верес</w:t>
      </w:r>
      <w:r w:rsidRPr="0032587C">
        <w:rPr>
          <w:rFonts w:ascii="Times New Roman" w:hAnsi="Times New Roman"/>
          <w:sz w:val="25"/>
          <w:szCs w:val="25"/>
        </w:rPr>
        <w:t>ня 202</w:t>
      </w:r>
      <w:r w:rsidR="00220391" w:rsidRPr="0032587C">
        <w:rPr>
          <w:rFonts w:ascii="Times New Roman" w:hAnsi="Times New Roman"/>
          <w:sz w:val="25"/>
          <w:szCs w:val="25"/>
        </w:rPr>
        <w:t>4</w:t>
      </w:r>
      <w:r w:rsidRPr="0032587C">
        <w:rPr>
          <w:rFonts w:ascii="Times New Roman" w:hAnsi="Times New Roman"/>
          <w:sz w:val="25"/>
          <w:szCs w:val="25"/>
        </w:rPr>
        <w:t xml:space="preserve"> року №</w:t>
      </w:r>
      <w:r w:rsidR="00220391" w:rsidRPr="0032587C">
        <w:rPr>
          <w:rFonts w:ascii="Times New Roman" w:hAnsi="Times New Roman"/>
          <w:sz w:val="25"/>
          <w:szCs w:val="25"/>
        </w:rPr>
        <w:t xml:space="preserve"> 1</w:t>
      </w:r>
      <w:r w:rsidR="00FD7A99" w:rsidRPr="0032587C">
        <w:rPr>
          <w:rFonts w:ascii="Times New Roman" w:hAnsi="Times New Roman"/>
          <w:sz w:val="25"/>
          <w:szCs w:val="25"/>
        </w:rPr>
        <w:t>50</w:t>
      </w:r>
      <w:r w:rsidRPr="0032587C">
        <w:rPr>
          <w:rFonts w:ascii="Times New Roman" w:hAnsi="Times New Roman"/>
          <w:sz w:val="25"/>
          <w:szCs w:val="25"/>
        </w:rPr>
        <w:t>/ко-2</w:t>
      </w:r>
      <w:r w:rsidR="00220391" w:rsidRPr="0032587C">
        <w:rPr>
          <w:rFonts w:ascii="Times New Roman" w:hAnsi="Times New Roman"/>
          <w:sz w:val="25"/>
          <w:szCs w:val="25"/>
        </w:rPr>
        <w:t>4</w:t>
      </w:r>
      <w:r w:rsidRPr="0032587C">
        <w:rPr>
          <w:rFonts w:ascii="Times New Roman" w:hAnsi="Times New Roman"/>
          <w:sz w:val="25"/>
          <w:szCs w:val="25"/>
        </w:rPr>
        <w:t xml:space="preserve"> </w:t>
      </w:r>
      <w:r w:rsidR="00220391" w:rsidRPr="00E80D22">
        <w:rPr>
          <w:rFonts w:ascii="Times New Roman" w:hAnsi="Times New Roman"/>
          <w:sz w:val="25"/>
          <w:szCs w:val="25"/>
        </w:rPr>
        <w:t>визначено, що</w:t>
      </w:r>
      <w:r w:rsidR="00FD7A99">
        <w:rPr>
          <w:rFonts w:ascii="Times New Roman" w:hAnsi="Times New Roman"/>
          <w:sz w:val="25"/>
          <w:szCs w:val="25"/>
        </w:rPr>
        <w:t xml:space="preserve"> </w:t>
      </w:r>
      <w:r w:rsidR="00FD7A99" w:rsidRPr="00FD7A99">
        <w:rPr>
          <w:rFonts w:ascii="Times New Roman" w:hAnsi="Times New Roman"/>
          <w:sz w:val="25"/>
          <w:szCs w:val="25"/>
        </w:rPr>
        <w:t>суддя Яворівського районного суду Львівської області Кондратьєва Н</w:t>
      </w:r>
      <w:r w:rsidR="00FD7A99">
        <w:rPr>
          <w:rFonts w:ascii="Times New Roman" w:hAnsi="Times New Roman"/>
          <w:sz w:val="25"/>
          <w:szCs w:val="25"/>
        </w:rPr>
        <w:t>.</w:t>
      </w:r>
      <w:r w:rsidR="00FD7A99" w:rsidRPr="00FD7A99">
        <w:rPr>
          <w:rFonts w:ascii="Times New Roman" w:hAnsi="Times New Roman"/>
          <w:sz w:val="25"/>
          <w:szCs w:val="25"/>
        </w:rPr>
        <w:t>А</w:t>
      </w:r>
      <w:r w:rsidR="00FD7A99">
        <w:rPr>
          <w:rFonts w:ascii="Times New Roman" w:hAnsi="Times New Roman"/>
          <w:sz w:val="25"/>
          <w:szCs w:val="25"/>
        </w:rPr>
        <w:t xml:space="preserve">. </w:t>
      </w:r>
      <w:r w:rsidR="00220391" w:rsidRPr="00E80D22">
        <w:rPr>
          <w:rFonts w:ascii="Times New Roman" w:hAnsi="Times New Roman"/>
          <w:sz w:val="25"/>
          <w:szCs w:val="25"/>
        </w:rPr>
        <w:t>за результатами кваліфікаційного оцінювання на відповідність займ</w:t>
      </w:r>
      <w:r w:rsidR="00FD7A99">
        <w:rPr>
          <w:rFonts w:ascii="Times New Roman" w:hAnsi="Times New Roman"/>
          <w:sz w:val="25"/>
          <w:szCs w:val="25"/>
        </w:rPr>
        <w:t>аній посаді набрала 784,75 бала</w:t>
      </w:r>
      <w:r w:rsidR="001948BD" w:rsidRPr="00E80D22">
        <w:rPr>
          <w:rFonts w:ascii="Times New Roman" w:hAnsi="Times New Roman"/>
          <w:sz w:val="25"/>
          <w:szCs w:val="25"/>
        </w:rPr>
        <w:t>, що становить більше 67 відсотків від суми максимально можливих балів.</w:t>
      </w:r>
    </w:p>
    <w:p w:rsidR="00A52F91" w:rsidRDefault="001948BD" w:rsidP="00A52F91">
      <w:pPr>
        <w:shd w:val="clear" w:color="auto" w:fill="FFFFFF"/>
        <w:spacing w:after="0" w:line="240" w:lineRule="auto"/>
        <w:ind w:firstLine="708"/>
        <w:jc w:val="both"/>
        <w:rPr>
          <w:rFonts w:ascii="Times New Roman" w:hAnsi="Times New Roman"/>
          <w:sz w:val="25"/>
          <w:szCs w:val="25"/>
        </w:rPr>
      </w:pPr>
      <w:r w:rsidRPr="00E80D22">
        <w:rPr>
          <w:rFonts w:ascii="Times New Roman" w:hAnsi="Times New Roman"/>
          <w:sz w:val="25"/>
          <w:szCs w:val="25"/>
        </w:rPr>
        <w:t xml:space="preserve">На розгляд Вищої кваліфікаційної комісії суддів України у пленарному складі внесено питання щодо відповідності судді </w:t>
      </w:r>
      <w:r w:rsidR="00FD7A99" w:rsidRPr="00FD7A99">
        <w:rPr>
          <w:rFonts w:ascii="Times New Roman" w:hAnsi="Times New Roman"/>
          <w:sz w:val="25"/>
          <w:szCs w:val="25"/>
        </w:rPr>
        <w:t>Яворівського районного суду Львівської області Кондратьєвої Н</w:t>
      </w:r>
      <w:r w:rsidR="00FD7A99">
        <w:rPr>
          <w:rFonts w:ascii="Times New Roman" w:hAnsi="Times New Roman"/>
          <w:sz w:val="25"/>
          <w:szCs w:val="25"/>
        </w:rPr>
        <w:t>.</w:t>
      </w:r>
      <w:r w:rsidR="00FD7A99" w:rsidRPr="00FD7A99">
        <w:rPr>
          <w:rFonts w:ascii="Times New Roman" w:hAnsi="Times New Roman"/>
          <w:sz w:val="25"/>
          <w:szCs w:val="25"/>
        </w:rPr>
        <w:t>А</w:t>
      </w:r>
      <w:r w:rsidR="00FD7A99">
        <w:rPr>
          <w:rFonts w:ascii="Times New Roman" w:hAnsi="Times New Roman"/>
          <w:sz w:val="25"/>
          <w:szCs w:val="25"/>
        </w:rPr>
        <w:t>.</w:t>
      </w:r>
      <w:r w:rsidR="00FD7A99" w:rsidRPr="00FD7A99">
        <w:rPr>
          <w:rFonts w:ascii="Times New Roman" w:hAnsi="Times New Roman"/>
          <w:sz w:val="25"/>
          <w:szCs w:val="25"/>
        </w:rPr>
        <w:t xml:space="preserve"> займаній посаді.</w:t>
      </w:r>
    </w:p>
    <w:p w:rsidR="001948BD" w:rsidRPr="00E80D22" w:rsidRDefault="0081049A" w:rsidP="00A52F91">
      <w:pPr>
        <w:shd w:val="clear" w:color="auto" w:fill="FFFFFF"/>
        <w:spacing w:after="0" w:line="240" w:lineRule="auto"/>
        <w:ind w:firstLine="708"/>
        <w:jc w:val="both"/>
        <w:rPr>
          <w:rFonts w:ascii="Times New Roman" w:hAnsi="Times New Roman"/>
          <w:sz w:val="25"/>
          <w:szCs w:val="25"/>
        </w:rPr>
      </w:pPr>
      <w:r w:rsidRPr="00E80D22">
        <w:rPr>
          <w:rFonts w:ascii="Times New Roman" w:hAnsi="Times New Roman"/>
          <w:sz w:val="25"/>
          <w:szCs w:val="25"/>
        </w:rPr>
        <w:t xml:space="preserve">Рішення обґрунтовано тим, що </w:t>
      </w:r>
      <w:r w:rsidR="00A52F91" w:rsidRPr="00A52F91">
        <w:rPr>
          <w:rFonts w:ascii="Times New Roman" w:hAnsi="Times New Roman"/>
          <w:sz w:val="25"/>
          <w:szCs w:val="25"/>
        </w:rPr>
        <w:t>Кондратьєва Н.А.</w:t>
      </w:r>
      <w:r w:rsidR="008B0F5B" w:rsidRPr="00E80D22">
        <w:rPr>
          <w:rFonts w:ascii="Times New Roman" w:hAnsi="Times New Roman"/>
          <w:sz w:val="25"/>
          <w:szCs w:val="25"/>
        </w:rPr>
        <w:t xml:space="preserve"> </w:t>
      </w:r>
      <w:r w:rsidRPr="00E80D22">
        <w:rPr>
          <w:rFonts w:ascii="Times New Roman" w:hAnsi="Times New Roman"/>
          <w:sz w:val="25"/>
          <w:szCs w:val="25"/>
        </w:rPr>
        <w:t xml:space="preserve">склала анонімне письмове тестування, за результатами якого набрала </w:t>
      </w:r>
      <w:r w:rsidR="00A52F91">
        <w:rPr>
          <w:rFonts w:ascii="Times New Roman" w:hAnsi="Times New Roman"/>
          <w:sz w:val="25"/>
          <w:szCs w:val="25"/>
        </w:rPr>
        <w:t>87</w:t>
      </w:r>
      <w:r w:rsidR="001948BD" w:rsidRPr="00E80D22">
        <w:rPr>
          <w:rFonts w:ascii="Times New Roman" w:hAnsi="Times New Roman"/>
          <w:sz w:val="25"/>
          <w:szCs w:val="25"/>
        </w:rPr>
        <w:t>,</w:t>
      </w:r>
      <w:r w:rsidR="00A52F91" w:rsidRPr="00951049">
        <w:rPr>
          <w:rFonts w:ascii="Times New Roman" w:hAnsi="Times New Roman"/>
          <w:sz w:val="25"/>
          <w:szCs w:val="25"/>
          <w:lang w:val="ru-RU"/>
        </w:rPr>
        <w:t>7</w:t>
      </w:r>
      <w:r w:rsidR="001948BD" w:rsidRPr="00E80D22">
        <w:rPr>
          <w:rFonts w:ascii="Times New Roman" w:hAnsi="Times New Roman"/>
          <w:sz w:val="25"/>
          <w:szCs w:val="25"/>
        </w:rPr>
        <w:t xml:space="preserve">5 </w:t>
      </w:r>
      <w:r w:rsidRPr="00E80D22">
        <w:rPr>
          <w:rFonts w:ascii="Times New Roman" w:hAnsi="Times New Roman"/>
          <w:sz w:val="25"/>
          <w:szCs w:val="25"/>
        </w:rPr>
        <w:t xml:space="preserve">бала. За результатами виконаного практичного завдання </w:t>
      </w:r>
      <w:r w:rsidR="001948BD" w:rsidRPr="00E80D22">
        <w:rPr>
          <w:rFonts w:ascii="Times New Roman" w:hAnsi="Times New Roman"/>
          <w:sz w:val="25"/>
          <w:szCs w:val="25"/>
        </w:rPr>
        <w:t>суддя</w:t>
      </w:r>
      <w:r w:rsidRPr="00E80D22">
        <w:rPr>
          <w:rFonts w:ascii="Times New Roman" w:hAnsi="Times New Roman"/>
          <w:sz w:val="25"/>
          <w:szCs w:val="25"/>
        </w:rPr>
        <w:t xml:space="preserve"> набрала </w:t>
      </w:r>
      <w:r w:rsidR="00A52F91" w:rsidRPr="00951049">
        <w:rPr>
          <w:rFonts w:ascii="Times New Roman" w:hAnsi="Times New Roman"/>
          <w:sz w:val="25"/>
          <w:szCs w:val="25"/>
          <w:lang w:val="ru-RU"/>
        </w:rPr>
        <w:t xml:space="preserve">86 </w:t>
      </w:r>
      <w:r w:rsidR="001948BD" w:rsidRPr="00E80D22">
        <w:rPr>
          <w:rFonts w:ascii="Times New Roman" w:hAnsi="Times New Roman"/>
          <w:sz w:val="25"/>
          <w:szCs w:val="25"/>
        </w:rPr>
        <w:t>бал</w:t>
      </w:r>
      <w:r w:rsidR="00A52F91">
        <w:rPr>
          <w:rFonts w:ascii="Times New Roman" w:hAnsi="Times New Roman"/>
          <w:sz w:val="25"/>
          <w:szCs w:val="25"/>
        </w:rPr>
        <w:t>ів</w:t>
      </w:r>
      <w:r w:rsidRPr="00E80D22">
        <w:rPr>
          <w:rFonts w:ascii="Times New Roman" w:hAnsi="Times New Roman"/>
          <w:sz w:val="25"/>
          <w:szCs w:val="25"/>
        </w:rPr>
        <w:t xml:space="preserve">. На етапі складення іспиту суддя загалом набрала </w:t>
      </w:r>
      <w:r w:rsidR="001948BD" w:rsidRPr="00E80D22">
        <w:rPr>
          <w:rFonts w:ascii="Times New Roman" w:hAnsi="Times New Roman"/>
          <w:sz w:val="25"/>
          <w:szCs w:val="25"/>
        </w:rPr>
        <w:t>1</w:t>
      </w:r>
      <w:r w:rsidR="00A52F91">
        <w:rPr>
          <w:rFonts w:ascii="Times New Roman" w:hAnsi="Times New Roman"/>
          <w:sz w:val="25"/>
          <w:szCs w:val="25"/>
        </w:rPr>
        <w:t>73</w:t>
      </w:r>
      <w:r w:rsidR="001948BD" w:rsidRPr="00E80D22">
        <w:rPr>
          <w:rFonts w:ascii="Times New Roman" w:hAnsi="Times New Roman"/>
          <w:sz w:val="25"/>
          <w:szCs w:val="25"/>
        </w:rPr>
        <w:t>,75 бала</w:t>
      </w:r>
      <w:r w:rsidRPr="00E80D22">
        <w:rPr>
          <w:rFonts w:ascii="Times New Roman" w:hAnsi="Times New Roman"/>
          <w:sz w:val="25"/>
          <w:szCs w:val="25"/>
        </w:rPr>
        <w:t xml:space="preserve">. За критеріями компетентності (професійної, особистої та соціальної) суддя </w:t>
      </w:r>
      <w:r w:rsidR="009C4BEA" w:rsidRPr="009C4BEA">
        <w:rPr>
          <w:rFonts w:ascii="Times New Roman" w:hAnsi="Times New Roman"/>
          <w:sz w:val="25"/>
          <w:szCs w:val="25"/>
        </w:rPr>
        <w:t>Кондратьєва Н.А.</w:t>
      </w:r>
      <w:r w:rsidRPr="00E80D22">
        <w:rPr>
          <w:rFonts w:ascii="Times New Roman" w:hAnsi="Times New Roman"/>
          <w:sz w:val="25"/>
          <w:szCs w:val="25"/>
        </w:rPr>
        <w:t xml:space="preserve"> набрала </w:t>
      </w:r>
      <w:r w:rsidR="00A52F91">
        <w:rPr>
          <w:rFonts w:ascii="Times New Roman" w:hAnsi="Times New Roman"/>
          <w:sz w:val="25"/>
          <w:szCs w:val="25"/>
        </w:rPr>
        <w:t>389</w:t>
      </w:r>
      <w:r w:rsidR="000305FF" w:rsidRPr="00E80D22">
        <w:rPr>
          <w:rFonts w:ascii="Times New Roman" w:hAnsi="Times New Roman"/>
          <w:sz w:val="25"/>
          <w:szCs w:val="25"/>
        </w:rPr>
        <w:t xml:space="preserve">,75 бала, </w:t>
      </w:r>
      <w:r w:rsidR="005C432F">
        <w:rPr>
          <w:rFonts w:ascii="Times New Roman" w:hAnsi="Times New Roman"/>
          <w:sz w:val="25"/>
          <w:szCs w:val="25"/>
        </w:rPr>
        <w:t>за критеріями</w:t>
      </w:r>
      <w:r w:rsidRPr="00E80D22">
        <w:rPr>
          <w:rFonts w:ascii="Times New Roman" w:hAnsi="Times New Roman"/>
          <w:sz w:val="25"/>
          <w:szCs w:val="25"/>
        </w:rPr>
        <w:t xml:space="preserve"> професійної етики </w:t>
      </w:r>
      <w:r w:rsidR="001948BD" w:rsidRPr="00E80D22">
        <w:rPr>
          <w:rFonts w:ascii="Times New Roman" w:hAnsi="Times New Roman"/>
          <w:sz w:val="25"/>
          <w:szCs w:val="25"/>
        </w:rPr>
        <w:t>та</w:t>
      </w:r>
      <w:r w:rsidRPr="00E80D22">
        <w:rPr>
          <w:rFonts w:ascii="Times New Roman" w:hAnsi="Times New Roman"/>
          <w:sz w:val="25"/>
          <w:szCs w:val="25"/>
        </w:rPr>
        <w:t xml:space="preserve"> доброчесності</w:t>
      </w:r>
      <w:r w:rsidR="00343784" w:rsidRPr="00E80D22">
        <w:rPr>
          <w:rFonts w:ascii="Times New Roman" w:hAnsi="Times New Roman"/>
          <w:sz w:val="25"/>
          <w:szCs w:val="25"/>
        </w:rPr>
        <w:t xml:space="preserve"> </w:t>
      </w:r>
      <w:r w:rsidRPr="00E80D22">
        <w:rPr>
          <w:rFonts w:ascii="Times New Roman" w:hAnsi="Times New Roman"/>
          <w:sz w:val="25"/>
          <w:szCs w:val="25"/>
        </w:rPr>
        <w:t>–</w:t>
      </w:r>
      <w:r w:rsidR="00343784" w:rsidRPr="00E80D22">
        <w:rPr>
          <w:rFonts w:ascii="Times New Roman" w:hAnsi="Times New Roman"/>
          <w:sz w:val="25"/>
          <w:szCs w:val="25"/>
        </w:rPr>
        <w:t xml:space="preserve"> </w:t>
      </w:r>
      <w:r w:rsidR="001948BD" w:rsidRPr="00E80D22">
        <w:rPr>
          <w:rFonts w:ascii="Times New Roman" w:hAnsi="Times New Roman"/>
          <w:sz w:val="25"/>
          <w:szCs w:val="25"/>
        </w:rPr>
        <w:t>3</w:t>
      </w:r>
      <w:r w:rsidR="00A52F91">
        <w:rPr>
          <w:rFonts w:ascii="Times New Roman" w:hAnsi="Times New Roman"/>
          <w:sz w:val="25"/>
          <w:szCs w:val="25"/>
        </w:rPr>
        <w:t>95</w:t>
      </w:r>
      <w:r w:rsidR="001948BD" w:rsidRPr="00E80D22">
        <w:rPr>
          <w:rFonts w:ascii="Times New Roman" w:hAnsi="Times New Roman"/>
          <w:sz w:val="25"/>
          <w:szCs w:val="25"/>
        </w:rPr>
        <w:t xml:space="preserve"> балів.</w:t>
      </w:r>
    </w:p>
    <w:p w:rsidR="001A091E" w:rsidRPr="00E80D22" w:rsidRDefault="00F218C6" w:rsidP="00E80D22">
      <w:pPr>
        <w:shd w:val="clear" w:color="auto" w:fill="FFFFFF"/>
        <w:spacing w:after="0" w:line="240" w:lineRule="auto"/>
        <w:ind w:firstLine="708"/>
        <w:jc w:val="both"/>
        <w:rPr>
          <w:rFonts w:ascii="Times New Roman" w:hAnsi="Times New Roman"/>
          <w:sz w:val="25"/>
          <w:szCs w:val="25"/>
        </w:rPr>
      </w:pPr>
      <w:r w:rsidRPr="00AE29B8">
        <w:rPr>
          <w:rFonts w:ascii="Times New Roman" w:hAnsi="Times New Roman"/>
          <w:sz w:val="25"/>
          <w:szCs w:val="25"/>
        </w:rPr>
        <w:t xml:space="preserve">Дослідивши матеріали суддівського досьє </w:t>
      </w:r>
      <w:r w:rsidR="00A52F91" w:rsidRPr="00AE29B8">
        <w:rPr>
          <w:rFonts w:ascii="Times New Roman" w:hAnsi="Times New Roman"/>
          <w:sz w:val="25"/>
          <w:szCs w:val="25"/>
        </w:rPr>
        <w:t>Кондратьєвої Н.А</w:t>
      </w:r>
      <w:r w:rsidR="001948BD" w:rsidRPr="00AE29B8">
        <w:rPr>
          <w:rFonts w:ascii="Times New Roman" w:hAnsi="Times New Roman"/>
          <w:sz w:val="25"/>
          <w:szCs w:val="25"/>
        </w:rPr>
        <w:t>.</w:t>
      </w:r>
      <w:r w:rsidRPr="00AE29B8">
        <w:rPr>
          <w:rFonts w:ascii="Times New Roman" w:hAnsi="Times New Roman"/>
          <w:sz w:val="25"/>
          <w:szCs w:val="25"/>
        </w:rPr>
        <w:t xml:space="preserve">, </w:t>
      </w:r>
      <w:r w:rsidR="00877391" w:rsidRPr="00AE29B8">
        <w:rPr>
          <w:rFonts w:ascii="Times New Roman" w:hAnsi="Times New Roman"/>
          <w:sz w:val="25"/>
          <w:szCs w:val="25"/>
        </w:rPr>
        <w:t>зокрема</w:t>
      </w:r>
      <w:r w:rsidRPr="00AE29B8">
        <w:rPr>
          <w:rFonts w:ascii="Times New Roman" w:hAnsi="Times New Roman"/>
          <w:sz w:val="25"/>
          <w:szCs w:val="25"/>
        </w:rPr>
        <w:t xml:space="preserve"> висновок ГРД про невідповідність судді критеріям доброчесності та професійної етики, проаналізувавши відомості про суддю, порівнявши їх з інформацією, одержаною від Національного агентства з питань запобігання корупції (далі – НАЗК), Комісія</w:t>
      </w:r>
      <w:r w:rsidR="001948BD" w:rsidRPr="00AE29B8">
        <w:rPr>
          <w:rFonts w:ascii="Times New Roman" w:hAnsi="Times New Roman"/>
          <w:sz w:val="25"/>
          <w:szCs w:val="25"/>
        </w:rPr>
        <w:t xml:space="preserve"> у пленарному складі</w:t>
      </w:r>
      <w:r w:rsidRPr="00AE29B8">
        <w:rPr>
          <w:rFonts w:ascii="Times New Roman" w:hAnsi="Times New Roman"/>
          <w:sz w:val="25"/>
          <w:szCs w:val="25"/>
        </w:rPr>
        <w:t xml:space="preserve"> встановила таке.</w:t>
      </w:r>
    </w:p>
    <w:p w:rsidR="00305F8A" w:rsidRPr="00E2040B" w:rsidRDefault="009C4BEA" w:rsidP="009C4BEA">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У висновку ГРД</w:t>
      </w:r>
      <w:r w:rsidRPr="009C4BEA">
        <w:rPr>
          <w:rFonts w:ascii="Times New Roman" w:hAnsi="Times New Roman"/>
          <w:sz w:val="25"/>
          <w:szCs w:val="25"/>
        </w:rPr>
        <w:t xml:space="preserve"> </w:t>
      </w:r>
      <w:r>
        <w:rPr>
          <w:rFonts w:ascii="Times New Roman" w:hAnsi="Times New Roman"/>
          <w:sz w:val="25"/>
          <w:szCs w:val="25"/>
        </w:rPr>
        <w:t xml:space="preserve">зазначено про </w:t>
      </w:r>
      <w:r w:rsidR="005C432F">
        <w:rPr>
          <w:rFonts w:ascii="Times New Roman" w:hAnsi="Times New Roman"/>
          <w:sz w:val="25"/>
          <w:szCs w:val="25"/>
        </w:rPr>
        <w:t>так</w:t>
      </w:r>
      <w:r w:rsidR="0032587C">
        <w:rPr>
          <w:rFonts w:ascii="Times New Roman" w:hAnsi="Times New Roman"/>
          <w:sz w:val="25"/>
          <w:szCs w:val="25"/>
        </w:rPr>
        <w:t>і</w:t>
      </w:r>
      <w:r>
        <w:rPr>
          <w:rFonts w:ascii="Times New Roman" w:hAnsi="Times New Roman"/>
          <w:sz w:val="25"/>
          <w:szCs w:val="25"/>
        </w:rPr>
        <w:t xml:space="preserve"> обставини</w:t>
      </w:r>
      <w:r w:rsidR="00305F8A" w:rsidRPr="00E2040B">
        <w:rPr>
          <w:rFonts w:ascii="Times New Roman" w:hAnsi="Times New Roman"/>
          <w:sz w:val="25"/>
          <w:szCs w:val="25"/>
        </w:rPr>
        <w:t>:</w:t>
      </w:r>
    </w:p>
    <w:p w:rsidR="00305F8A" w:rsidRPr="00E2040B" w:rsidRDefault="00305F8A" w:rsidP="00305F8A">
      <w:pPr>
        <w:shd w:val="clear" w:color="auto" w:fill="FFFFFF"/>
        <w:spacing w:after="0" w:line="240" w:lineRule="auto"/>
        <w:ind w:firstLine="708"/>
        <w:jc w:val="both"/>
        <w:rPr>
          <w:rFonts w:ascii="Times New Roman" w:hAnsi="Times New Roman"/>
          <w:sz w:val="25"/>
          <w:szCs w:val="25"/>
        </w:rPr>
      </w:pPr>
      <w:r w:rsidRPr="00E2040B">
        <w:rPr>
          <w:rFonts w:ascii="Times New Roman" w:hAnsi="Times New Roman"/>
          <w:sz w:val="25"/>
          <w:szCs w:val="25"/>
        </w:rPr>
        <w:t xml:space="preserve">- винесення суддею постанов про звільнення правопорушників від відповідальності з передачею матеріалів на розгляд трудових колективів або громадських організацій для вирішення питання про застосування заходів громадського впливу у 19 справах про адміністративне правопорушення, передбачене статтею 130 КУпАП. </w:t>
      </w:r>
      <w:r w:rsidR="005C432F">
        <w:rPr>
          <w:rFonts w:ascii="Times New Roman" w:hAnsi="Times New Roman"/>
          <w:sz w:val="25"/>
          <w:szCs w:val="25"/>
        </w:rPr>
        <w:t>Водночас</w:t>
      </w:r>
      <w:r w:rsidRPr="00E2040B">
        <w:rPr>
          <w:rFonts w:ascii="Times New Roman" w:hAnsi="Times New Roman"/>
          <w:sz w:val="25"/>
          <w:szCs w:val="25"/>
        </w:rPr>
        <w:t xml:space="preserve"> ГРД стверджує, що суддя керувалась схожими аргументами для звільнення осіб від відповідальності, такими як: «особа (правопорушник) є членом трудового колективу», «особа (правопорушник) позитивно характеризується», «особа (правопорушник) використовує автомобіль для виконання службових обов’язків», «особа (правопорушник) не вчиняв неправомірних дій під час роботи» або «колектив зобов’язався провести виховні заходи»;</w:t>
      </w:r>
    </w:p>
    <w:p w:rsidR="0028739A" w:rsidRPr="00E2040B" w:rsidRDefault="00305F8A" w:rsidP="0028739A">
      <w:pPr>
        <w:shd w:val="clear" w:color="auto" w:fill="FFFFFF"/>
        <w:spacing w:after="0" w:line="240" w:lineRule="auto"/>
        <w:ind w:firstLine="708"/>
        <w:jc w:val="both"/>
        <w:rPr>
          <w:rFonts w:ascii="Times New Roman" w:hAnsi="Times New Roman"/>
          <w:sz w:val="25"/>
          <w:szCs w:val="25"/>
        </w:rPr>
      </w:pPr>
      <w:r w:rsidRPr="00E2040B">
        <w:rPr>
          <w:rFonts w:ascii="Times New Roman" w:hAnsi="Times New Roman"/>
          <w:sz w:val="25"/>
          <w:szCs w:val="25"/>
        </w:rPr>
        <w:t>- винесення суддею постанов про закриття проваджень у 9 справах про адміністративне правопорушення, передбачене статтею 130 КУпАП, з підстав закінчення строку накладення адміністративного стягнення. ГРД вважає, що дії судді при розгляді цих справ мають ознаки судової тяганини, яка стала причиною уникнення правопорушниками відповідальності внаслідок закриття провадження у справах.</w:t>
      </w:r>
    </w:p>
    <w:p w:rsidR="0028739A" w:rsidRPr="0028739A" w:rsidRDefault="00877391" w:rsidP="009A20C2">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lastRenderedPageBreak/>
        <w:t>Під час</w:t>
      </w:r>
      <w:r w:rsidR="006D736D" w:rsidRPr="00E80D22">
        <w:rPr>
          <w:rFonts w:ascii="Times New Roman" w:hAnsi="Times New Roman"/>
          <w:sz w:val="25"/>
          <w:szCs w:val="25"/>
        </w:rPr>
        <w:t xml:space="preserve"> ухваленн</w:t>
      </w:r>
      <w:r>
        <w:rPr>
          <w:rFonts w:ascii="Times New Roman" w:hAnsi="Times New Roman"/>
          <w:sz w:val="25"/>
          <w:szCs w:val="25"/>
        </w:rPr>
        <w:t>я</w:t>
      </w:r>
      <w:r w:rsidR="006D736D" w:rsidRPr="00E80D22">
        <w:rPr>
          <w:rFonts w:ascii="Times New Roman" w:hAnsi="Times New Roman"/>
          <w:sz w:val="25"/>
          <w:szCs w:val="25"/>
        </w:rPr>
        <w:t xml:space="preserve"> рішення </w:t>
      </w:r>
      <w:r w:rsidR="009A20C2">
        <w:rPr>
          <w:rFonts w:ascii="Times New Roman" w:hAnsi="Times New Roman"/>
          <w:sz w:val="25"/>
          <w:szCs w:val="25"/>
        </w:rPr>
        <w:t xml:space="preserve">Комісії у складі колегії від 17 вересня 2024 року № 150/ко-24 встановлено, </w:t>
      </w:r>
      <w:r w:rsidR="00333044" w:rsidRPr="00E80D22">
        <w:rPr>
          <w:rFonts w:ascii="Times New Roman" w:hAnsi="Times New Roman"/>
          <w:sz w:val="25"/>
          <w:szCs w:val="25"/>
        </w:rPr>
        <w:t xml:space="preserve">що </w:t>
      </w:r>
      <w:r w:rsidR="0028739A">
        <w:rPr>
          <w:rFonts w:ascii="Times New Roman" w:hAnsi="Times New Roman"/>
          <w:sz w:val="25"/>
          <w:szCs w:val="25"/>
        </w:rPr>
        <w:t>у</w:t>
      </w:r>
      <w:r w:rsidR="0028739A" w:rsidRPr="0028739A">
        <w:rPr>
          <w:rFonts w:ascii="Times New Roman" w:hAnsi="Times New Roman"/>
          <w:sz w:val="25"/>
          <w:szCs w:val="25"/>
        </w:rPr>
        <w:t xml:space="preserve"> провадженні судді Кондратьєвої Н.А. за період з 01 січня 2017 року до 23 вересня 2021 року перебувало 287 справ про адміністративні правопорушення, передбачені статтею 130 КУпАП, з яких:</w:t>
      </w:r>
    </w:p>
    <w:p w:rsidR="0028739A" w:rsidRPr="0028739A" w:rsidRDefault="0028739A" w:rsidP="0028739A">
      <w:pPr>
        <w:shd w:val="clear" w:color="auto" w:fill="FFFFFF"/>
        <w:spacing w:after="0" w:line="240" w:lineRule="auto"/>
        <w:ind w:firstLine="708"/>
        <w:jc w:val="both"/>
        <w:rPr>
          <w:rFonts w:ascii="Times New Roman" w:hAnsi="Times New Roman"/>
          <w:sz w:val="25"/>
          <w:szCs w:val="25"/>
        </w:rPr>
      </w:pPr>
      <w:r w:rsidRPr="0028739A">
        <w:rPr>
          <w:rFonts w:ascii="Times New Roman" w:hAnsi="Times New Roman"/>
          <w:sz w:val="25"/>
          <w:szCs w:val="25"/>
        </w:rPr>
        <w:t>- у 19 справах (№№ 460/1335/17, 460/1650/17, 460/973/18, 460/974/17, 460/836/17, 460/2186/17, 460/1772/18, 460/5041/18, 944/2048/20, 944/2283/20, 460/1181/17, 460/697/17, 460/3192/17, 460/1960/17, 460/1388/71, 460/4984/17, 460/603/18, 460/45/19, 460/43/17) осіб, які притягувались до відповідальності, звільнено від адміністрат</w:t>
      </w:r>
      <w:r w:rsidR="005C432F">
        <w:rPr>
          <w:rFonts w:ascii="Times New Roman" w:hAnsi="Times New Roman"/>
          <w:sz w:val="25"/>
          <w:szCs w:val="25"/>
        </w:rPr>
        <w:t>ивної відповідальності з переданням</w:t>
      </w:r>
      <w:r w:rsidRPr="0028739A">
        <w:rPr>
          <w:rFonts w:ascii="Times New Roman" w:hAnsi="Times New Roman"/>
          <w:sz w:val="25"/>
          <w:szCs w:val="25"/>
        </w:rPr>
        <w:t xml:space="preserve"> матеріалів на розгляд трудових колективів або громадських організацій, провадження у справах закрито;</w:t>
      </w:r>
    </w:p>
    <w:p w:rsidR="00E2040B" w:rsidRDefault="0028739A" w:rsidP="00E2040B">
      <w:pPr>
        <w:shd w:val="clear" w:color="auto" w:fill="FFFFFF"/>
        <w:spacing w:after="0" w:line="240" w:lineRule="auto"/>
        <w:ind w:firstLine="708"/>
        <w:jc w:val="both"/>
        <w:rPr>
          <w:rFonts w:ascii="Times New Roman" w:hAnsi="Times New Roman"/>
          <w:sz w:val="25"/>
          <w:szCs w:val="25"/>
        </w:rPr>
      </w:pPr>
      <w:r w:rsidRPr="0028739A">
        <w:rPr>
          <w:rFonts w:ascii="Times New Roman" w:hAnsi="Times New Roman"/>
          <w:sz w:val="25"/>
          <w:szCs w:val="25"/>
        </w:rPr>
        <w:t>- у 9 справах (№№ 460/2745/18, 460/4049/17, 460/2574/17, 460/2462/18, 460/2736/18, 460/1846/17, 460/4009/17, 460/4186/18, 460/622/19) провадження закрито у зв’язку із закінченням строків накладення стягнення.</w:t>
      </w:r>
    </w:p>
    <w:p w:rsidR="0028739A" w:rsidRDefault="0028739A" w:rsidP="00E2040B">
      <w:pPr>
        <w:shd w:val="clear" w:color="auto" w:fill="FFFFFF"/>
        <w:spacing w:after="0" w:line="240" w:lineRule="auto"/>
        <w:ind w:firstLine="708"/>
        <w:jc w:val="both"/>
        <w:rPr>
          <w:rFonts w:ascii="Times New Roman" w:hAnsi="Times New Roman"/>
          <w:sz w:val="25"/>
          <w:szCs w:val="25"/>
        </w:rPr>
      </w:pPr>
      <w:r w:rsidRPr="0028739A">
        <w:rPr>
          <w:rFonts w:ascii="Times New Roman" w:hAnsi="Times New Roman"/>
          <w:sz w:val="25"/>
          <w:szCs w:val="25"/>
        </w:rPr>
        <w:t xml:space="preserve">ГРД вважає, що дії судді при розгляді цих справ у першому випадку мають ознаки необґрунтованого звільнення від адміністративної відповідальності, </w:t>
      </w:r>
      <w:r w:rsidR="005C432F">
        <w:rPr>
          <w:rFonts w:ascii="Times New Roman" w:hAnsi="Times New Roman"/>
          <w:sz w:val="25"/>
          <w:szCs w:val="25"/>
        </w:rPr>
        <w:t xml:space="preserve">у другому – </w:t>
      </w:r>
      <w:r w:rsidRPr="0028739A">
        <w:rPr>
          <w:rFonts w:ascii="Times New Roman" w:hAnsi="Times New Roman"/>
          <w:sz w:val="25"/>
          <w:szCs w:val="25"/>
        </w:rPr>
        <w:t>ознаки судової тяганини, що призвела до уникнення правопорушниками відповідальності внаслідок закриття провадження у справах.</w:t>
      </w:r>
    </w:p>
    <w:p w:rsidR="00E2040B" w:rsidRPr="00E2040B" w:rsidRDefault="00E2040B" w:rsidP="00B7728E">
      <w:pPr>
        <w:shd w:val="clear" w:color="auto" w:fill="FFFFFF"/>
        <w:spacing w:after="0" w:line="240" w:lineRule="auto"/>
        <w:ind w:firstLine="708"/>
        <w:jc w:val="both"/>
        <w:rPr>
          <w:rFonts w:ascii="Times New Roman" w:hAnsi="Times New Roman"/>
          <w:sz w:val="25"/>
          <w:szCs w:val="25"/>
        </w:rPr>
      </w:pPr>
      <w:r w:rsidRPr="00E2040B">
        <w:rPr>
          <w:rFonts w:ascii="Times New Roman" w:hAnsi="Times New Roman"/>
          <w:sz w:val="25"/>
          <w:szCs w:val="25"/>
        </w:rPr>
        <w:t xml:space="preserve">У письмових поясненнях </w:t>
      </w:r>
      <w:r w:rsidR="005C432F">
        <w:rPr>
          <w:rFonts w:ascii="Times New Roman" w:hAnsi="Times New Roman"/>
          <w:sz w:val="25"/>
          <w:szCs w:val="25"/>
        </w:rPr>
        <w:t>стосовно</w:t>
      </w:r>
      <w:r w:rsidRPr="00E2040B">
        <w:rPr>
          <w:rFonts w:ascii="Times New Roman" w:hAnsi="Times New Roman"/>
          <w:sz w:val="25"/>
          <w:szCs w:val="25"/>
        </w:rPr>
        <w:t xml:space="preserve"> обставин, наданих ГРД, та усних поясненнях під час спі</w:t>
      </w:r>
      <w:r w:rsidR="00B7728E">
        <w:rPr>
          <w:rFonts w:ascii="Times New Roman" w:hAnsi="Times New Roman"/>
          <w:sz w:val="25"/>
          <w:szCs w:val="25"/>
        </w:rPr>
        <w:t>вбесіди суддя просила врахувати, що п</w:t>
      </w:r>
      <w:r w:rsidRPr="00E2040B">
        <w:rPr>
          <w:rFonts w:ascii="Times New Roman" w:hAnsi="Times New Roman"/>
          <w:sz w:val="25"/>
          <w:szCs w:val="25"/>
        </w:rPr>
        <w:t>ід час винесення постанов про звільнення від адміністрат</w:t>
      </w:r>
      <w:r w:rsidR="005C432F">
        <w:rPr>
          <w:rFonts w:ascii="Times New Roman" w:hAnsi="Times New Roman"/>
          <w:sz w:val="25"/>
          <w:szCs w:val="25"/>
        </w:rPr>
        <w:t xml:space="preserve">ивної відповідальності з </w:t>
      </w:r>
      <w:r w:rsidR="005C432F" w:rsidRPr="005C432F">
        <w:rPr>
          <w:rFonts w:ascii="Times New Roman" w:hAnsi="Times New Roman"/>
          <w:sz w:val="25"/>
          <w:szCs w:val="25"/>
        </w:rPr>
        <w:t>переданням</w:t>
      </w:r>
      <w:r w:rsidRPr="005C432F">
        <w:rPr>
          <w:rFonts w:ascii="Times New Roman" w:hAnsi="Times New Roman"/>
          <w:sz w:val="25"/>
          <w:szCs w:val="25"/>
        </w:rPr>
        <w:t xml:space="preserve"> матеріалів справи на розгляд трудового колективу судом врахов</w:t>
      </w:r>
      <w:r w:rsidR="005C432F" w:rsidRPr="005C432F">
        <w:rPr>
          <w:rFonts w:ascii="Times New Roman" w:hAnsi="Times New Roman"/>
          <w:sz w:val="25"/>
          <w:szCs w:val="25"/>
        </w:rPr>
        <w:t>ано</w:t>
      </w:r>
      <w:r w:rsidRPr="005C432F">
        <w:rPr>
          <w:rFonts w:ascii="Times New Roman" w:hAnsi="Times New Roman"/>
          <w:sz w:val="25"/>
          <w:szCs w:val="25"/>
        </w:rPr>
        <w:t xml:space="preserve"> особ</w:t>
      </w:r>
      <w:r w:rsidR="005C432F" w:rsidRPr="005C432F">
        <w:rPr>
          <w:rFonts w:ascii="Times New Roman" w:hAnsi="Times New Roman"/>
          <w:sz w:val="25"/>
          <w:szCs w:val="25"/>
        </w:rPr>
        <w:t>у</w:t>
      </w:r>
      <w:r w:rsidRPr="005C432F">
        <w:rPr>
          <w:rFonts w:ascii="Times New Roman" w:hAnsi="Times New Roman"/>
          <w:sz w:val="25"/>
          <w:szCs w:val="25"/>
        </w:rPr>
        <w:t xml:space="preserve"> правопорушника, його ставлення до вчинених дій, характер правопорушення, а також наявність обґрунтованих клопотань від трудових колективів та громадських організацій про передання їм матеріалів для застосування заходів громадського впливу.</w:t>
      </w:r>
    </w:p>
    <w:p w:rsidR="00E2040B" w:rsidRPr="00E2040B" w:rsidRDefault="00E2040B" w:rsidP="00E2040B">
      <w:pPr>
        <w:shd w:val="clear" w:color="auto" w:fill="FFFFFF"/>
        <w:spacing w:after="0" w:line="240" w:lineRule="auto"/>
        <w:ind w:firstLine="708"/>
        <w:jc w:val="both"/>
        <w:rPr>
          <w:rFonts w:ascii="Times New Roman" w:hAnsi="Times New Roman"/>
          <w:sz w:val="25"/>
          <w:szCs w:val="25"/>
        </w:rPr>
      </w:pPr>
      <w:r w:rsidRPr="00E2040B">
        <w:rPr>
          <w:rFonts w:ascii="Times New Roman" w:hAnsi="Times New Roman"/>
          <w:sz w:val="25"/>
          <w:szCs w:val="25"/>
        </w:rPr>
        <w:t>Суддя зауважила, що нею враховувалась практика апеляційного суду із розгляду аналогічної категорії справ, оскільки частин</w:t>
      </w:r>
      <w:r w:rsidR="005C432F">
        <w:rPr>
          <w:rFonts w:ascii="Times New Roman" w:hAnsi="Times New Roman"/>
          <w:sz w:val="25"/>
          <w:szCs w:val="25"/>
        </w:rPr>
        <w:t xml:space="preserve">у </w:t>
      </w:r>
      <w:r w:rsidRPr="00E2040B">
        <w:rPr>
          <w:rFonts w:ascii="Times New Roman" w:hAnsi="Times New Roman"/>
          <w:sz w:val="25"/>
          <w:szCs w:val="25"/>
        </w:rPr>
        <w:t>судових рішень про накладення стягнень після перегляду в апеляційній інстанції бул</w:t>
      </w:r>
      <w:r w:rsidR="005C432F">
        <w:rPr>
          <w:rFonts w:ascii="Times New Roman" w:hAnsi="Times New Roman"/>
          <w:sz w:val="25"/>
          <w:szCs w:val="25"/>
        </w:rPr>
        <w:t>о скасовано</w:t>
      </w:r>
      <w:r w:rsidRPr="00E2040B">
        <w:rPr>
          <w:rFonts w:ascii="Times New Roman" w:hAnsi="Times New Roman"/>
          <w:sz w:val="25"/>
          <w:szCs w:val="25"/>
        </w:rPr>
        <w:t>, а матеріали передано на розгляд трудових колективів або громадських організацій.</w:t>
      </w:r>
    </w:p>
    <w:p w:rsidR="00E2040B" w:rsidRPr="00E2040B" w:rsidRDefault="00E2040B" w:rsidP="00E2040B">
      <w:pPr>
        <w:shd w:val="clear" w:color="auto" w:fill="FFFFFF"/>
        <w:spacing w:after="0" w:line="240" w:lineRule="auto"/>
        <w:ind w:firstLine="708"/>
        <w:jc w:val="both"/>
        <w:rPr>
          <w:rFonts w:ascii="Times New Roman" w:hAnsi="Times New Roman"/>
          <w:sz w:val="25"/>
          <w:szCs w:val="25"/>
        </w:rPr>
      </w:pPr>
      <w:r w:rsidRPr="00E2040B">
        <w:rPr>
          <w:rFonts w:ascii="Times New Roman" w:hAnsi="Times New Roman"/>
          <w:sz w:val="25"/>
          <w:szCs w:val="25"/>
        </w:rPr>
        <w:t xml:space="preserve">Кондратьєва Н.А. пояснила, що </w:t>
      </w:r>
      <w:r w:rsidR="005C432F">
        <w:rPr>
          <w:rFonts w:ascii="Times New Roman" w:hAnsi="Times New Roman"/>
          <w:sz w:val="25"/>
          <w:szCs w:val="25"/>
        </w:rPr>
        <w:t>в</w:t>
      </w:r>
      <w:r w:rsidRPr="00E2040B">
        <w:rPr>
          <w:rFonts w:ascii="Times New Roman" w:hAnsi="Times New Roman"/>
          <w:sz w:val="25"/>
          <w:szCs w:val="25"/>
        </w:rPr>
        <w:t xml:space="preserve"> </w:t>
      </w:r>
      <w:r w:rsidR="005C432F">
        <w:rPr>
          <w:rFonts w:ascii="Times New Roman" w:hAnsi="Times New Roman"/>
          <w:sz w:val="25"/>
          <w:szCs w:val="25"/>
        </w:rPr>
        <w:t>16</w:t>
      </w:r>
      <w:r w:rsidRPr="00E2040B">
        <w:rPr>
          <w:rFonts w:ascii="Times New Roman" w:hAnsi="Times New Roman"/>
          <w:sz w:val="25"/>
          <w:szCs w:val="25"/>
        </w:rPr>
        <w:t xml:space="preserve"> справах </w:t>
      </w:r>
      <w:r w:rsidR="005C432F">
        <w:rPr>
          <w:rFonts w:ascii="Times New Roman" w:hAnsi="Times New Roman"/>
          <w:sz w:val="25"/>
          <w:szCs w:val="25"/>
        </w:rPr>
        <w:t>стосовно</w:t>
      </w:r>
      <w:r w:rsidRPr="00E2040B">
        <w:rPr>
          <w:rFonts w:ascii="Times New Roman" w:hAnsi="Times New Roman"/>
          <w:sz w:val="25"/>
          <w:szCs w:val="25"/>
        </w:rPr>
        <w:t xml:space="preserve"> водіїв, матеріали яких передано судом для застосування заходів громадського впливу, позбавлення права керування </w:t>
      </w:r>
      <w:r w:rsidR="005C432F">
        <w:rPr>
          <w:rFonts w:ascii="Times New Roman" w:hAnsi="Times New Roman"/>
          <w:sz w:val="25"/>
          <w:szCs w:val="25"/>
        </w:rPr>
        <w:t xml:space="preserve">транспортним засобом </w:t>
      </w:r>
      <w:r w:rsidRPr="00E2040B">
        <w:rPr>
          <w:rFonts w:ascii="Times New Roman" w:hAnsi="Times New Roman"/>
          <w:sz w:val="25"/>
          <w:szCs w:val="25"/>
        </w:rPr>
        <w:t xml:space="preserve">могло призвести до втрати правопорушником роботи. Судом </w:t>
      </w:r>
      <w:r w:rsidR="005C432F" w:rsidRPr="00E2040B">
        <w:rPr>
          <w:rFonts w:ascii="Times New Roman" w:hAnsi="Times New Roman"/>
          <w:sz w:val="25"/>
          <w:szCs w:val="25"/>
        </w:rPr>
        <w:t xml:space="preserve">також </w:t>
      </w:r>
      <w:r w:rsidRPr="00E2040B">
        <w:rPr>
          <w:rFonts w:ascii="Times New Roman" w:hAnsi="Times New Roman"/>
          <w:sz w:val="25"/>
          <w:szCs w:val="25"/>
        </w:rPr>
        <w:t xml:space="preserve">враховано позитивні характеристики правопорушників, невисокий рівень </w:t>
      </w:r>
      <w:r w:rsidR="005C432F">
        <w:rPr>
          <w:rFonts w:ascii="Times New Roman" w:hAnsi="Times New Roman"/>
          <w:sz w:val="25"/>
          <w:szCs w:val="25"/>
        </w:rPr>
        <w:t xml:space="preserve">їх </w:t>
      </w:r>
      <w:r w:rsidRPr="00E2040B">
        <w:rPr>
          <w:rFonts w:ascii="Times New Roman" w:hAnsi="Times New Roman"/>
          <w:sz w:val="25"/>
          <w:szCs w:val="25"/>
        </w:rPr>
        <w:t xml:space="preserve">сп’яніння (від 0,25 до 0,88 проміле), місце </w:t>
      </w:r>
      <w:r w:rsidR="005C432F">
        <w:rPr>
          <w:rFonts w:ascii="Times New Roman" w:hAnsi="Times New Roman"/>
          <w:sz w:val="25"/>
          <w:szCs w:val="25"/>
        </w:rPr>
        <w:t>роботи</w:t>
      </w:r>
      <w:r w:rsidRPr="00E2040B">
        <w:rPr>
          <w:rFonts w:ascii="Times New Roman" w:hAnsi="Times New Roman"/>
          <w:sz w:val="25"/>
          <w:szCs w:val="25"/>
        </w:rPr>
        <w:t xml:space="preserve"> та звернення роботодавців.</w:t>
      </w:r>
    </w:p>
    <w:p w:rsidR="00E2040B" w:rsidRPr="00E2040B" w:rsidRDefault="00E2040B" w:rsidP="00E2040B">
      <w:pPr>
        <w:shd w:val="clear" w:color="auto" w:fill="FFFFFF"/>
        <w:spacing w:after="0" w:line="240" w:lineRule="auto"/>
        <w:ind w:firstLine="708"/>
        <w:jc w:val="both"/>
        <w:rPr>
          <w:rFonts w:ascii="Times New Roman" w:hAnsi="Times New Roman"/>
          <w:sz w:val="25"/>
          <w:szCs w:val="25"/>
        </w:rPr>
      </w:pPr>
      <w:r w:rsidRPr="00E2040B">
        <w:rPr>
          <w:rFonts w:ascii="Times New Roman" w:hAnsi="Times New Roman"/>
          <w:sz w:val="25"/>
          <w:szCs w:val="25"/>
        </w:rPr>
        <w:t>В інших справах матеріали передано громадським організаціям з огляду на особу порушника, його позитивну характеристику, ставлення до вчиненого діяння, матеріали справи, мотиви поданих клопотань, активну участь у громадському житті, сумлінне ставленні до громадських обов’язків та невисокий рівень алкогольного сп’яніння (до 0,82 проміле).</w:t>
      </w:r>
    </w:p>
    <w:p w:rsidR="00E2040B" w:rsidRPr="00E2040B" w:rsidRDefault="00E2040B" w:rsidP="00E2040B">
      <w:pPr>
        <w:shd w:val="clear" w:color="auto" w:fill="FFFFFF"/>
        <w:spacing w:after="0" w:line="240" w:lineRule="auto"/>
        <w:ind w:firstLine="708"/>
        <w:jc w:val="both"/>
        <w:rPr>
          <w:rFonts w:ascii="Times New Roman" w:hAnsi="Times New Roman"/>
          <w:sz w:val="25"/>
          <w:szCs w:val="25"/>
        </w:rPr>
      </w:pPr>
      <w:r w:rsidRPr="00E2040B">
        <w:rPr>
          <w:rFonts w:ascii="Times New Roman" w:hAnsi="Times New Roman"/>
          <w:sz w:val="25"/>
          <w:szCs w:val="25"/>
        </w:rPr>
        <w:t>Стосовно затягування розгляду 9 справ Кондратьєва Н.А. зазначила, що справи про адміністративні правопорушення за 2017–2018 роки знищено, тому всі пояснення щодо їх руху нада</w:t>
      </w:r>
      <w:r w:rsidR="000D4606">
        <w:rPr>
          <w:rFonts w:ascii="Times New Roman" w:hAnsi="Times New Roman"/>
          <w:sz w:val="25"/>
          <w:szCs w:val="25"/>
        </w:rPr>
        <w:t>но</w:t>
      </w:r>
      <w:r w:rsidRPr="00E2040B">
        <w:rPr>
          <w:rFonts w:ascii="Times New Roman" w:hAnsi="Times New Roman"/>
          <w:sz w:val="25"/>
          <w:szCs w:val="25"/>
        </w:rPr>
        <w:t xml:space="preserve"> з урахуванням мотивів постанов у справах та відомостей, які містяться в системі Д-3.</w:t>
      </w:r>
    </w:p>
    <w:p w:rsidR="00E2040B" w:rsidRDefault="000D4606" w:rsidP="00E2040B">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С</w:t>
      </w:r>
      <w:r w:rsidR="00E2040B" w:rsidRPr="00E2040B">
        <w:rPr>
          <w:rFonts w:ascii="Times New Roman" w:hAnsi="Times New Roman"/>
          <w:sz w:val="25"/>
          <w:szCs w:val="25"/>
        </w:rPr>
        <w:t>уддею</w:t>
      </w:r>
      <w:r>
        <w:rPr>
          <w:rFonts w:ascii="Times New Roman" w:hAnsi="Times New Roman"/>
          <w:sz w:val="25"/>
          <w:szCs w:val="25"/>
        </w:rPr>
        <w:t>, зокрема,</w:t>
      </w:r>
      <w:r w:rsidR="00E2040B" w:rsidRPr="00E2040B">
        <w:rPr>
          <w:rFonts w:ascii="Times New Roman" w:hAnsi="Times New Roman"/>
          <w:sz w:val="25"/>
          <w:szCs w:val="25"/>
        </w:rPr>
        <w:t xml:space="preserve"> вказано, що справи, про які йдеться у висновку ГРД, дійсно не розглян</w:t>
      </w:r>
      <w:r>
        <w:rPr>
          <w:rFonts w:ascii="Times New Roman" w:hAnsi="Times New Roman"/>
          <w:sz w:val="25"/>
          <w:szCs w:val="25"/>
        </w:rPr>
        <w:t>ено</w:t>
      </w:r>
      <w:r w:rsidR="00E2040B" w:rsidRPr="00E2040B">
        <w:rPr>
          <w:rFonts w:ascii="Times New Roman" w:hAnsi="Times New Roman"/>
          <w:sz w:val="25"/>
          <w:szCs w:val="25"/>
        </w:rPr>
        <w:t xml:space="preserve"> у строки, визначені Кодексом для накладення адміністративного стягнення, що й стало безумовною підставою для закриття провадження. Проте Кондратьєва Н.А. не погодилась, що поведінку суду у процесі можна вважати «судовою</w:t>
      </w:r>
      <w:r>
        <w:rPr>
          <w:rFonts w:ascii="Times New Roman" w:hAnsi="Times New Roman"/>
          <w:sz w:val="25"/>
          <w:szCs w:val="25"/>
        </w:rPr>
        <w:t xml:space="preserve"> тяганиною», </w:t>
      </w:r>
      <w:r w:rsidR="00E2040B" w:rsidRPr="00E2040B">
        <w:rPr>
          <w:rFonts w:ascii="Times New Roman" w:hAnsi="Times New Roman"/>
          <w:sz w:val="25"/>
          <w:szCs w:val="25"/>
        </w:rPr>
        <w:t>та просила врахувати, що нею вживались усі можливі заходи для ухвалення постанов у межах тримісячного строку, а причини відкладення обумовлен</w:t>
      </w:r>
      <w:r>
        <w:rPr>
          <w:rFonts w:ascii="Times New Roman" w:hAnsi="Times New Roman"/>
          <w:sz w:val="25"/>
          <w:szCs w:val="25"/>
        </w:rPr>
        <w:t>о</w:t>
      </w:r>
      <w:r w:rsidR="00E2040B" w:rsidRPr="00E2040B">
        <w:rPr>
          <w:rFonts w:ascii="Times New Roman" w:hAnsi="Times New Roman"/>
          <w:sz w:val="25"/>
          <w:szCs w:val="25"/>
        </w:rPr>
        <w:t xml:space="preserve"> такими обставинами: необхідністю допиту свідків, </w:t>
      </w:r>
      <w:r>
        <w:rPr>
          <w:rFonts w:ascii="Times New Roman" w:hAnsi="Times New Roman"/>
          <w:sz w:val="25"/>
          <w:szCs w:val="25"/>
        </w:rPr>
        <w:t xml:space="preserve">її </w:t>
      </w:r>
      <w:r w:rsidR="00E2040B" w:rsidRPr="00E2040B">
        <w:rPr>
          <w:rFonts w:ascii="Times New Roman" w:hAnsi="Times New Roman"/>
          <w:sz w:val="25"/>
          <w:szCs w:val="25"/>
        </w:rPr>
        <w:t>відпусткою, встановленням належних поштов</w:t>
      </w:r>
      <w:r>
        <w:rPr>
          <w:rFonts w:ascii="Times New Roman" w:hAnsi="Times New Roman"/>
          <w:sz w:val="25"/>
          <w:szCs w:val="25"/>
        </w:rPr>
        <w:t>их адрес правопорушників</w:t>
      </w:r>
      <w:r w:rsidR="00E2040B" w:rsidRPr="00E2040B">
        <w:rPr>
          <w:rFonts w:ascii="Times New Roman" w:hAnsi="Times New Roman"/>
          <w:sz w:val="25"/>
          <w:szCs w:val="25"/>
        </w:rPr>
        <w:t xml:space="preserve"> та іншими об’єктивними обставинами.</w:t>
      </w:r>
    </w:p>
    <w:p w:rsidR="001D1CD0" w:rsidRPr="001D1CD0" w:rsidRDefault="00333044" w:rsidP="001D1CD0">
      <w:pPr>
        <w:shd w:val="clear" w:color="auto" w:fill="FFFFFF"/>
        <w:spacing w:after="0" w:line="240" w:lineRule="auto"/>
        <w:ind w:firstLine="708"/>
        <w:jc w:val="both"/>
        <w:rPr>
          <w:rFonts w:ascii="Times New Roman" w:hAnsi="Times New Roman"/>
          <w:sz w:val="25"/>
          <w:szCs w:val="25"/>
        </w:rPr>
      </w:pPr>
      <w:r w:rsidRPr="000D4606">
        <w:rPr>
          <w:rFonts w:ascii="Times New Roman" w:hAnsi="Times New Roman"/>
          <w:sz w:val="25"/>
          <w:szCs w:val="25"/>
        </w:rPr>
        <w:lastRenderedPageBreak/>
        <w:t>Комісія у пленарному складі</w:t>
      </w:r>
      <w:r w:rsidR="007917B9" w:rsidRPr="000D4606">
        <w:rPr>
          <w:rFonts w:ascii="Times New Roman" w:hAnsi="Times New Roman"/>
          <w:sz w:val="25"/>
          <w:szCs w:val="25"/>
        </w:rPr>
        <w:t xml:space="preserve"> погоджується </w:t>
      </w:r>
      <w:r w:rsidR="00505AB1" w:rsidRPr="000D4606">
        <w:rPr>
          <w:rFonts w:ascii="Times New Roman" w:hAnsi="Times New Roman"/>
          <w:sz w:val="25"/>
          <w:szCs w:val="25"/>
        </w:rPr>
        <w:t>з</w:t>
      </w:r>
      <w:r w:rsidR="00ED5656" w:rsidRPr="00ED5656">
        <w:rPr>
          <w:rFonts w:ascii="Times New Roman" w:hAnsi="Times New Roman"/>
          <w:sz w:val="25"/>
          <w:szCs w:val="25"/>
        </w:rPr>
        <w:t xml:space="preserve"> мотивами рішення, </w:t>
      </w:r>
      <w:r w:rsidR="00ED5656">
        <w:rPr>
          <w:rFonts w:ascii="Times New Roman" w:hAnsi="Times New Roman"/>
          <w:sz w:val="25"/>
          <w:szCs w:val="25"/>
        </w:rPr>
        <w:t xml:space="preserve">ухваленого колегією, та зауважує, що </w:t>
      </w:r>
      <w:r w:rsidR="001D1CD0" w:rsidRPr="001D1CD0">
        <w:rPr>
          <w:rFonts w:ascii="Times New Roman" w:hAnsi="Times New Roman"/>
          <w:sz w:val="25"/>
          <w:szCs w:val="25"/>
        </w:rPr>
        <w:t>згідно зі статтею 1 КУпАП завданням Кодексу є охорона прав і свобод громадян, власності, конституційного ладу України, прав і законних інтересів підприємств, установ і організацій, встановленого правопорядку, зміцнення законності, запобігання правопорушенням, виховання громадян у дусі точного і неухильного додержання Конституції і законів України, поваги до прав, честі і гідності інших громадян, до правил співжиття, сумлінного виконання своїх обов’язків, відповідальності перед суспільством.</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Водночас завданнями провадження </w:t>
      </w:r>
      <w:r w:rsidR="000D4606">
        <w:rPr>
          <w:rFonts w:ascii="Times New Roman" w:hAnsi="Times New Roman"/>
          <w:sz w:val="25"/>
          <w:szCs w:val="25"/>
        </w:rPr>
        <w:t>у</w:t>
      </w:r>
      <w:r w:rsidRPr="001D1CD0">
        <w:rPr>
          <w:rFonts w:ascii="Times New Roman" w:hAnsi="Times New Roman"/>
          <w:sz w:val="25"/>
          <w:szCs w:val="25"/>
        </w:rPr>
        <w:t xml:space="preserve">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Уповноважений орган (посадова особа) при розгляді справи про адміністративне правопорушення з метою забезпечення дотримання прав особи, яка притягається до адміністративної відповідальності, індивідуалізації її відповідальності та реалізації вимог статті 245 КУпАП щодо своєчасного, всебічного, повного і об’єктивного з’ясування обставин справи, вирішення її відповідно до вимог статті 280 КУпАП зобов’язаний з’ясувати: чи було вчинено адміністративне правопорушення, чи винна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 </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При накладенні стягнення уповноважений орган (посадова особа) враховує характер вчиненого правопорушення, особу порушника, ступінь його вини, майновий стан, обставини, що пом’якшують і обтяжують відповідальність (частина друга статті 33 КУпАП).</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Згідно з частиною першою статті 130 КУпАП (у редакції від 01 січня 2017 року)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шестисот неоподатковуваних мінімумів доходів громадян з позбавленням права керування транспортними засобами на строк один рік і на </w:t>
      </w:r>
      <w:r w:rsidR="000D4606">
        <w:rPr>
          <w:rFonts w:ascii="Times New Roman" w:hAnsi="Times New Roman"/>
          <w:sz w:val="25"/>
          <w:szCs w:val="25"/>
        </w:rPr>
        <w:t xml:space="preserve">інших осіб – </w:t>
      </w:r>
      <w:r w:rsidRPr="001D1CD0">
        <w:rPr>
          <w:rFonts w:ascii="Times New Roman" w:hAnsi="Times New Roman"/>
          <w:sz w:val="25"/>
          <w:szCs w:val="25"/>
        </w:rPr>
        <w:t>накладення штрафу в розмірі шестисот неоподатковуваних мінімумів доходів громадян.</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Комісія зауважує, що адміністративне правопорушення у сфері дорожнього руху, передбачене частиною першою статті 130 КУпАП, характеризується значною, порівняно з іншими адміністративними правопорушеннями, що визначені приписами КУпАП, суспільною шкідливістю, оскільки санкція частини першої цієї статті передбачає застосування до правопорушника більш суворого адміністративного стягнення, ніж в багатьох інших випадках, передбачених КУпАП.</w:t>
      </w:r>
    </w:p>
    <w:p w:rsidR="001D1CD0" w:rsidRPr="001D1CD0" w:rsidRDefault="000D4606" w:rsidP="001D1CD0">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Водночас</w:t>
      </w:r>
      <w:r w:rsidR="001D1CD0" w:rsidRPr="001D1CD0">
        <w:rPr>
          <w:rFonts w:ascii="Times New Roman" w:hAnsi="Times New Roman"/>
          <w:sz w:val="25"/>
          <w:szCs w:val="25"/>
        </w:rPr>
        <w:t xml:space="preserve"> статтею 7 КУпАП визначено, що ніхто не може бути підданий заходу впливу </w:t>
      </w:r>
      <w:r>
        <w:rPr>
          <w:rFonts w:ascii="Times New Roman" w:hAnsi="Times New Roman"/>
          <w:sz w:val="25"/>
          <w:szCs w:val="25"/>
        </w:rPr>
        <w:t>у</w:t>
      </w:r>
      <w:r w:rsidR="001D1CD0" w:rsidRPr="001D1CD0">
        <w:rPr>
          <w:rFonts w:ascii="Times New Roman" w:hAnsi="Times New Roman"/>
          <w:sz w:val="25"/>
          <w:szCs w:val="25"/>
        </w:rPr>
        <w:t xml:space="preserve"> зв’язку з адміністративним правопорушенням інакше як на підставах і в порядку, встановлених законом. Провадження </w:t>
      </w:r>
      <w:r>
        <w:rPr>
          <w:rFonts w:ascii="Times New Roman" w:hAnsi="Times New Roman"/>
          <w:sz w:val="25"/>
          <w:szCs w:val="25"/>
        </w:rPr>
        <w:t>у</w:t>
      </w:r>
      <w:r w:rsidR="001D1CD0" w:rsidRPr="001D1CD0">
        <w:rPr>
          <w:rFonts w:ascii="Times New Roman" w:hAnsi="Times New Roman"/>
          <w:sz w:val="25"/>
          <w:szCs w:val="25"/>
        </w:rPr>
        <w:t xml:space="preserve"> справах про адміністративні правопорушення </w:t>
      </w:r>
      <w:r w:rsidR="001D1CD0" w:rsidRPr="001D1CD0">
        <w:rPr>
          <w:rFonts w:ascii="Times New Roman" w:hAnsi="Times New Roman"/>
          <w:sz w:val="25"/>
          <w:szCs w:val="25"/>
        </w:rPr>
        <w:lastRenderedPageBreak/>
        <w:t>здійснюється на основі суворого додержання закону. Застосування уповноваженими на те органами і посадовими особами заходів адміністративного впливу провадиться в межах їх компетенції, у точній відповідності з законом.</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Відповідно до частини другої статті 284 КУпАП постанова про закриття справи виноситься при оголошенні усного зауваження, передачі матеріалів на розгляд громадської організації чи трудового колективу або передачі їх прокурору, органу досудового розслідування, а також при наявності обставин, передбачених статтею 247 цього Кодексу.</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Частинами першою та другою статті 21 КУпАП (у редакції від 01 січня 2017 року, чинній до 17 березня 2021 року, коли набрав чинності Закон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від 16 лютого 2021 року № 1231-IX) передбачено, що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Про заходи громадського впливу, застосовані до осіб, які вчинили правопорушення, передбачені статтею 51, частиною першою статті 129, ч</w:t>
      </w:r>
      <w:r w:rsidR="00CE48DC">
        <w:rPr>
          <w:rFonts w:ascii="Times New Roman" w:hAnsi="Times New Roman"/>
          <w:sz w:val="25"/>
          <w:szCs w:val="25"/>
        </w:rPr>
        <w:t>астинами першою і другою статті </w:t>
      </w:r>
      <w:r w:rsidRPr="001D1CD0">
        <w:rPr>
          <w:rFonts w:ascii="Times New Roman" w:hAnsi="Times New Roman"/>
          <w:sz w:val="25"/>
          <w:szCs w:val="25"/>
        </w:rPr>
        <w:t>130, с</w:t>
      </w:r>
      <w:r w:rsidR="000E35A0">
        <w:rPr>
          <w:rFonts w:ascii="Times New Roman" w:hAnsi="Times New Roman"/>
          <w:sz w:val="25"/>
          <w:szCs w:val="25"/>
        </w:rPr>
        <w:t>таттями 156, 173, 176, 177, 178–</w:t>
      </w:r>
      <w:r w:rsidRPr="001D1CD0">
        <w:rPr>
          <w:rFonts w:ascii="Times New Roman" w:hAnsi="Times New Roman"/>
          <w:sz w:val="25"/>
          <w:szCs w:val="25"/>
        </w:rPr>
        <w:t>180 цього Кодексу, власник підприємства, установи, організації або уповноважений ним орган, або громадська організація повинні не пізніш як у десятиденний строк з дня одержання матеріалів повідомити орган (посадову особу), який надіслав матеріали.</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Комісія бере до уваги, що функціональні недоліки механізму своєчасного, всебічного, повного і об’єктивного розгляду та вирішення справ про притягнення до адміністративної відповідальності осіб, винних у вчиненні правопорушень, передбачених статтею 130 КУпАП, неможливість вирішення питання про притягнення до відповідальності вказаних осіб із причини спливу строку накладення адміністративного стягнення набули певного резонансу в суспільстві та викликали занепокоєння як у громадськості, так і в законодавця. Однак було б несправедливо ототожнювати ці недоліки та їх наслідки виключно із діяльністю суду при розгляді адміністративних справ, адже усунення їх причин перебуває у площині формування адміністративної чи кримінально-правової політики і може бути реалізоване шляхом виконання законотворчої функції Верховної Ради України.</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Як наслідок, відповідно до Закону України «Про внесення змін до деяких законодавчих актів України щодо спрощення досудового розслідування окремих категорій кримінальних правопорушень» від 22 листопада 2018 року № 2617-VIII, який набрав чинності 01 липня 2020 року, адміністративну відповідальність за керування транспортними засобами особами у стані алкогольного, наркотичного чи іншого сп’яніння або під впливом лікарських препаратів, що знижують їх увагу та швидкість реакції, скасовано. Натомість цим законом доповнено Кримінальний кодекс України статтею 286-1, згідно з якою ці діяння віднесен</w:t>
      </w:r>
      <w:r w:rsidR="00CE48DC">
        <w:rPr>
          <w:rFonts w:ascii="Times New Roman" w:hAnsi="Times New Roman"/>
          <w:sz w:val="25"/>
          <w:szCs w:val="25"/>
        </w:rPr>
        <w:t>о</w:t>
      </w:r>
      <w:r w:rsidRPr="001D1CD0">
        <w:rPr>
          <w:rFonts w:ascii="Times New Roman" w:hAnsi="Times New Roman"/>
          <w:sz w:val="25"/>
          <w:szCs w:val="25"/>
        </w:rPr>
        <w:t xml:space="preserve"> до кримінальних проступків.</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Незважаючи на те, що Законом України «Про внесення змін до деяких законодавчих актів України у зв’язку з прийняттям Закону № 2617» від 17 червня 2020 року № 720-IX із Закону № 2617 виключено положення про криміналізацію вказаних діянь, слід констатувати особливий підхід законодавця до визначення виду юридичної відповідальності за їх вчинення.</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від 16 лютого 2021 року № 1231-IX внесено зміни до КУпАП у частині, що стосується </w:t>
      </w:r>
      <w:r w:rsidRPr="001D1CD0">
        <w:rPr>
          <w:rFonts w:ascii="Times New Roman" w:hAnsi="Times New Roman"/>
          <w:sz w:val="25"/>
          <w:szCs w:val="25"/>
        </w:rPr>
        <w:lastRenderedPageBreak/>
        <w:t>строків накладення адміністративних стягнень за вчинення правопорушень, передбачених статтею 130 КУпАП, та визначено, що адміністративне стягнення може бути накладено протягом одного року з дня його вчинення. Впроваджено більш сувору відповідальність за вчинення такого правопорушення.</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Крім того, 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від 16 лютого 2021 року № 1231-IX правопорушення, передбачене статтею 130 КУпАП, віднесено до переліку тих, на які не поширюється дія статті 21 КУпАП.</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Надалі Законом України «Про внесення змін до Кодексу України про адміністративні правопорушення щодо посилення адміністративної відповідальності за незаконну торгівлю пальним» від 06 жовтня 2022 року № 2657-IX статтю 21 виключено із КУпАП.</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Комісія зауважує, що провадження у справах про адміністративні правопорушення ведеться на підставі закону, що діє під час і за місцем розгляду справи про правопорушення (стаття 8 КУпАП).</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Таким чином, на момент прийняття суддею Кондратьєвою Н.А. рішення про звільнення від адміністративної відповідальності винних осіб за вчинення правопорушення, передбаченого частиною першою статті 130 КУпАП, з передачею матеріалів на розгляд трудового колективу чи громадської організації статтею 21 КУпАП </w:t>
      </w:r>
      <w:r w:rsidR="00CE48DC" w:rsidRPr="001D1CD0">
        <w:rPr>
          <w:rFonts w:ascii="Times New Roman" w:hAnsi="Times New Roman"/>
          <w:sz w:val="25"/>
          <w:szCs w:val="25"/>
        </w:rPr>
        <w:t xml:space="preserve">було </w:t>
      </w:r>
      <w:r w:rsidRPr="001D1CD0">
        <w:rPr>
          <w:rFonts w:ascii="Times New Roman" w:hAnsi="Times New Roman"/>
          <w:sz w:val="25"/>
          <w:szCs w:val="25"/>
        </w:rPr>
        <w:t>встановлено, що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Отже, одним із критеріїв звільнення особи від адміністративної відповідальності є врахування компетентним органом чи посадовою особою характеру вчиненого правопорушення.</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Статтею 245 КУпАП визначено перелік завдань проваджень у справах про адміністративні правопорушення, для вирішення яких статтею 280 цього Кодексу на уповноважений розглядати справи про адміністративні правопорушення орган або посадову особу покладено обов’язок з’ясування всіх необхідних обставин справ. Відповідно до статті 221 КУпАП уповноваженим органом на розгляд справ про адміністративні правопорушення, передбачені статтею 130 КУпАП, є суд.</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Зокрема, статтею 280 КУпАП визначено обов’язок суду з’ясувати, чи є підстави для передачі матеріалів про адміністративне правопорушення на розгляд громадської організації, трудового колективу.</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Таким чином, КУпАП у поєднанні з іншими встановленими цією нормою обов’язками суду (з’ясування наявності згідно із частиною першою статті 21 КУпАП підстав для передачі матеріалів про адміністративне правопорушення на розгляд громадської організації, трудового колективу), визначеними статтею 245 КУпАП завданнями провадження у справах про адміністративні правопорушення (всебічне, повне і об’єктивне з’ясування обставин кожної справи), передбаченими статтею 1 КУпАП завданнями цього Кодексу (охорона встановленого правопорядку, запобігання правопорушенням, виховання громадян в дусі точного і неухильного додержання Конституції і законів України, поваги до правил співжиття, відповідальності перед суспільством), було покладено на суд обов’язок вжити всіх можливих заходів для встановлення обставин у справі, усунення можливих сумнівів у справедливості судового розгляду, зміцнення суспільної довіри до суду.</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lastRenderedPageBreak/>
        <w:t>Комісією встановлено, що в постановах про звільнення осіб від адміністративної відповідальності з передачею матеріалів на розгляд трудового колективу у справах №№ 460/1335/17, 460/1650/17, 460/973/18, 460/974/17, 460/836/17, 460/2186/17, 460/1772/18, 460/5041/18, 944/2048/20, 944/2283/20, 460/1181/17, 460/697/17, 460/3192/17, 460/1960/17, 460/1388/71, 460/4984/17, 460/603/18, 460/45/19, 460/43/17 суддя враховувала обставини та характер вчиненого правопорушення, особу порушника, ступінь його вини, відсутність обтяжуючих обставин.</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Відповідно до Висновку Консультативної ради європейських суддів № 11 (2008) судові рішення повинні, у принципі, бути обґрунтованими. Підстави прийняття рішення повинні бути узгодженими, чіткими, недвозначними й несуперечливими. Вони повинні давати можливість читачеві простежити логіку міркувань, які привели суддю до ухваленого ним рішення. Хоча судді й мають можливість, а інколи й зобов’язані учиняти деякі дії з власної ініціативи, вони повинні давати відповідь лише на доречні доводи, здатні вплинути на вирішення спору. Виклад підстав для прийняття рішення не повинен неодмінно бути довгим, оскільки необхідно знайти належний баланс між стислістю та правильним розумінням ухваленого рішення.</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Згідно з пунктом 41 зазначеного Висновку обов’язок суддів наводити підстави для своїх рішень не означає необхідності відповідати на кожен аргумент захисту на підтримку кожної підстави захисту. Обсяг цього обов’язку може змінюватися залежно від характеру рішення. Відповідно до практики Європейського суду з прав людини очікуваний обсяг обґрунтування залежить від різних доводів, що їх може надавати кожна зі сторін, а також від різних правових положень, звичаїв та доктринальних принципів, а крім того, ще й від різних практик підготовки та представлення рішень у різних країнах.</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Пунктом 1 статті 6 Конвенції про захист прав людини і основоположних свобод (далі – Конвенція) передбачено, що кожен має право на справедливий і публічний розгляд його справи упродовж розумного строку незалежним і безстороннім судом, встановленим законом, який вирішить спір щодо його прав та обов’язків цивільного характеру.</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Право особи на справедливий судовий розгляд при визначенні її прав і обов’язків забезпечується і конкретизується, зокрема, через право на мотивоване судове рішення, що також знайшло пояснення у прецедентах Європейського суду з прав людини. Водночас, як свідчить прецедентна практика Європейського суду з прав людини, пункт 1 статті 6 Конвенції не може тлумачитись як такий, що вимагає детальної відповіді на кожний аргумент сторін. Межа, до якої суд має виконати обов’язок щодо обґрунтування рішення, може бути різною залежно від характеру рішення (рішення у справі «Ruiz Torija v. Spain» від </w:t>
      </w:r>
      <w:r w:rsidR="00CE48DC">
        <w:rPr>
          <w:rFonts w:ascii="Times New Roman" w:hAnsi="Times New Roman"/>
          <w:sz w:val="25"/>
          <w:szCs w:val="25"/>
        </w:rPr>
        <w:t>0</w:t>
      </w:r>
      <w:r w:rsidRPr="001D1CD0">
        <w:rPr>
          <w:rFonts w:ascii="Times New Roman" w:hAnsi="Times New Roman"/>
          <w:sz w:val="25"/>
          <w:szCs w:val="25"/>
        </w:rPr>
        <w:t>9 грудня 1994 року).</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Як неодноразово вказував Європейський суд з прав людини, право на вмотивованість судового рішення досягає більш загального принципу, втіленого у Конвенції, який захищає особу від сваволі; рішення національного суду повинно містити мотиви, які достатні для того, щоб відповісти на істотні аспекти доводів сторони (рішення у справі «Руїз Торіха проти Іспанії», параграфи 29–30). Це право не вимагає детальної відповіді на кожен аргумент, використаний стороною (параграф 32 рішення у справі «Гірвісаарі проти Фінляндії»).</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Національний суд має певну свободу розсуду щодо вибору аргументів у тій чи іншій справі та прийняття доказів на підтвердження позицій сторін, проте зобов’язаний виправдати свої дії, навівши обґрунтування своїх рішень (рішення у справі «Суомінен проти Фінляндії» (Suominen v. Finland) від </w:t>
      </w:r>
      <w:r w:rsidR="00CE48DC">
        <w:rPr>
          <w:rFonts w:ascii="Times New Roman" w:hAnsi="Times New Roman"/>
          <w:sz w:val="25"/>
          <w:szCs w:val="25"/>
        </w:rPr>
        <w:t>0</w:t>
      </w:r>
      <w:r w:rsidRPr="001D1CD0">
        <w:rPr>
          <w:rFonts w:ascii="Times New Roman" w:hAnsi="Times New Roman"/>
          <w:sz w:val="25"/>
          <w:szCs w:val="25"/>
        </w:rPr>
        <w:t>1 липня 2003 року, № 37801/97, пункт 36).</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Лише за умови винесення обґрунтованого рішення може забезпечуватись публічний контроль за здійсненням правосуддя (рішення у справі «Гірвісаарі проти Фінляндії» (Hirvisaari v. Finland) від 27 вересня 2001 року).</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lastRenderedPageBreak/>
        <w:t xml:space="preserve">Аналізуючи обрану Кондратьєвою Н.А. методику викладення мотивувальної частини постанов у справах про адміністративні правопорушення, на яких зауважено у висновку ГРД, Комісія погоджується із позицією ГРД, та й навіть суддя цього не заперечувала, що обсяг оцінки судом підстав для передачі матеріалів про адміністративне правопорушення на розгляд громадської організації чи трудового колективу, а також з’ясування істотних обставин, що мають значення для правильного вирішення цього питання (зокрема, характер вчиненого правопорушення, особа порушника, ступінь його вини, майновий стан, обставини, що пом’якшують і обтяжують відповідальність), а також повнота викладення мотивів </w:t>
      </w:r>
      <w:r w:rsidR="00CE48DC">
        <w:rPr>
          <w:rFonts w:ascii="Times New Roman" w:hAnsi="Times New Roman"/>
          <w:sz w:val="25"/>
          <w:szCs w:val="25"/>
        </w:rPr>
        <w:t>загалом</w:t>
      </w:r>
      <w:r w:rsidRPr="001D1CD0">
        <w:rPr>
          <w:rFonts w:ascii="Times New Roman" w:hAnsi="Times New Roman"/>
          <w:sz w:val="25"/>
          <w:szCs w:val="25"/>
        </w:rPr>
        <w:t xml:space="preserve"> мають певні недоліки.</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Однак при оцінюванні відповідності судді критеріям професійної етики та доброчесності Комісією враховуються істотність будь-якої обставини чи порушення, що можуть свідчити про її невідповідність цим критеріям.</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Тому, враховуючи, що реалізовані судом повноваження відповідали чинним на момент ухвалення постанов нормам </w:t>
      </w:r>
      <w:r w:rsidR="00CE48DC">
        <w:rPr>
          <w:rFonts w:ascii="Times New Roman" w:hAnsi="Times New Roman"/>
          <w:sz w:val="25"/>
          <w:szCs w:val="25"/>
        </w:rPr>
        <w:t>КУ</w:t>
      </w:r>
      <w:r w:rsidR="00021766">
        <w:rPr>
          <w:rFonts w:ascii="Times New Roman" w:hAnsi="Times New Roman"/>
          <w:sz w:val="25"/>
          <w:szCs w:val="25"/>
        </w:rPr>
        <w:t>пА</w:t>
      </w:r>
      <w:r w:rsidR="00CE48DC">
        <w:rPr>
          <w:rFonts w:ascii="Times New Roman" w:hAnsi="Times New Roman"/>
          <w:sz w:val="25"/>
          <w:szCs w:val="25"/>
        </w:rPr>
        <w:t>П</w:t>
      </w:r>
      <w:r w:rsidRPr="001D1CD0">
        <w:rPr>
          <w:rFonts w:ascii="Times New Roman" w:hAnsi="Times New Roman"/>
          <w:sz w:val="25"/>
          <w:szCs w:val="25"/>
        </w:rPr>
        <w:t xml:space="preserve"> (</w:t>
      </w:r>
      <w:r w:rsidR="00CE48DC">
        <w:rPr>
          <w:rFonts w:ascii="Times New Roman" w:hAnsi="Times New Roman"/>
          <w:sz w:val="25"/>
          <w:szCs w:val="25"/>
        </w:rPr>
        <w:t>у</w:t>
      </w:r>
      <w:r w:rsidRPr="001D1CD0">
        <w:rPr>
          <w:rFonts w:ascii="Times New Roman" w:hAnsi="Times New Roman"/>
          <w:sz w:val="25"/>
          <w:szCs w:val="25"/>
        </w:rPr>
        <w:t xml:space="preserve"> частині застосування строків накладення адміністративного стягнення та процедури звільнення осіб від адміністративної відповідальності з передачею матеріалів на розгляд трудового колективу чи громадської організації), Комісія не вважає виявлені дефекти мотивування судових рішень такими, що свідчать про свавільне чи внаслідок грубої недбалості застосування судом КУпАП. </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Отже, досліджені обставини не є підставою для виникнення </w:t>
      </w:r>
      <w:r w:rsidR="00CE48DC">
        <w:rPr>
          <w:rFonts w:ascii="Times New Roman" w:hAnsi="Times New Roman"/>
          <w:sz w:val="25"/>
          <w:szCs w:val="25"/>
        </w:rPr>
        <w:t>в</w:t>
      </w:r>
      <w:r w:rsidRPr="001D1CD0">
        <w:rPr>
          <w:rFonts w:ascii="Times New Roman" w:hAnsi="Times New Roman"/>
          <w:sz w:val="25"/>
          <w:szCs w:val="25"/>
        </w:rPr>
        <w:t xml:space="preserve"> Комісії </w:t>
      </w:r>
      <w:r w:rsidR="00CE48DC">
        <w:rPr>
          <w:rFonts w:ascii="Times New Roman" w:hAnsi="Times New Roman"/>
          <w:sz w:val="25"/>
          <w:szCs w:val="25"/>
        </w:rPr>
        <w:t>вмотивованого</w:t>
      </w:r>
      <w:r w:rsidRPr="001D1CD0">
        <w:rPr>
          <w:rFonts w:ascii="Times New Roman" w:hAnsi="Times New Roman"/>
          <w:sz w:val="25"/>
          <w:szCs w:val="25"/>
        </w:rPr>
        <w:t xml:space="preserve"> сумніву у відповідності судді критеріям про</w:t>
      </w:r>
      <w:r w:rsidR="00CE48DC">
        <w:rPr>
          <w:rFonts w:ascii="Times New Roman" w:hAnsi="Times New Roman"/>
          <w:sz w:val="25"/>
          <w:szCs w:val="25"/>
        </w:rPr>
        <w:t>фесійної етики та доброчесності</w:t>
      </w:r>
      <w:r w:rsidRPr="001D1CD0">
        <w:rPr>
          <w:rFonts w:ascii="Times New Roman" w:hAnsi="Times New Roman"/>
          <w:sz w:val="25"/>
          <w:szCs w:val="25"/>
        </w:rPr>
        <w:t xml:space="preserve"> </w:t>
      </w:r>
      <w:r w:rsidR="00A10801">
        <w:rPr>
          <w:rFonts w:ascii="Times New Roman" w:hAnsi="Times New Roman"/>
          <w:sz w:val="25"/>
          <w:szCs w:val="25"/>
        </w:rPr>
        <w:t xml:space="preserve">та </w:t>
      </w:r>
      <w:r w:rsidR="00CE48DC">
        <w:rPr>
          <w:rFonts w:ascii="Times New Roman" w:hAnsi="Times New Roman"/>
          <w:sz w:val="25"/>
          <w:szCs w:val="25"/>
        </w:rPr>
        <w:t xml:space="preserve">цілком </w:t>
      </w:r>
      <w:r w:rsidR="00A10801">
        <w:rPr>
          <w:rFonts w:ascii="Times New Roman" w:hAnsi="Times New Roman"/>
          <w:sz w:val="25"/>
          <w:szCs w:val="25"/>
        </w:rPr>
        <w:t>обґрунтовано</w:t>
      </w:r>
      <w:r w:rsidRPr="001D1CD0">
        <w:rPr>
          <w:rFonts w:ascii="Times New Roman" w:hAnsi="Times New Roman"/>
          <w:sz w:val="25"/>
          <w:szCs w:val="25"/>
        </w:rPr>
        <w:t xml:space="preserve"> врахо</w:t>
      </w:r>
      <w:r w:rsidR="00A10801">
        <w:rPr>
          <w:rFonts w:ascii="Times New Roman" w:hAnsi="Times New Roman"/>
          <w:sz w:val="25"/>
          <w:szCs w:val="25"/>
        </w:rPr>
        <w:t xml:space="preserve">вані </w:t>
      </w:r>
      <w:r w:rsidR="00CE48DC">
        <w:rPr>
          <w:rFonts w:ascii="Times New Roman" w:hAnsi="Times New Roman"/>
          <w:sz w:val="25"/>
          <w:szCs w:val="25"/>
        </w:rPr>
        <w:t>к</w:t>
      </w:r>
      <w:r w:rsidR="00A10801">
        <w:rPr>
          <w:rFonts w:ascii="Times New Roman" w:hAnsi="Times New Roman"/>
          <w:sz w:val="25"/>
          <w:szCs w:val="25"/>
        </w:rPr>
        <w:t xml:space="preserve">олегією </w:t>
      </w:r>
      <w:r w:rsidRPr="001D1CD0">
        <w:rPr>
          <w:rFonts w:ascii="Times New Roman" w:hAnsi="Times New Roman"/>
          <w:sz w:val="25"/>
          <w:szCs w:val="25"/>
        </w:rPr>
        <w:t>при визначенні балів за результатами кваліфікаційного оцінювання судді.</w:t>
      </w:r>
    </w:p>
    <w:p w:rsidR="001D1CD0" w:rsidRPr="001D1CD0" w:rsidRDefault="001D1CD0" w:rsidP="00AC3DDA">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Стосовно затягування суддею розгляду справ: №№  460/2745/18, 460/4049/17, 460/2574/17, 460/2462/18, 460/2736/18, 460/1846/17, 460/4009/17, 460/4186/18, 460/622/19 що призвело до уникнення правопорушниками відповідальнос</w:t>
      </w:r>
      <w:r w:rsidR="00AC3DDA">
        <w:rPr>
          <w:rFonts w:ascii="Times New Roman" w:hAnsi="Times New Roman"/>
          <w:sz w:val="25"/>
          <w:szCs w:val="25"/>
        </w:rPr>
        <w:t xml:space="preserve">ті, </w:t>
      </w:r>
      <w:r w:rsidRPr="001D1CD0">
        <w:rPr>
          <w:rFonts w:ascii="Times New Roman" w:hAnsi="Times New Roman"/>
          <w:sz w:val="25"/>
          <w:szCs w:val="25"/>
        </w:rPr>
        <w:t xml:space="preserve">Комісія зауважує, що суд під час розгляду справи про адміністративне правопорушення, передбачене статтею 130 КУпАП, з огляду, </w:t>
      </w:r>
      <w:r w:rsidR="00AC3DDA">
        <w:rPr>
          <w:rFonts w:ascii="Times New Roman" w:hAnsi="Times New Roman"/>
          <w:sz w:val="25"/>
          <w:szCs w:val="25"/>
        </w:rPr>
        <w:t>у</w:t>
      </w:r>
      <w:r w:rsidRPr="001D1CD0">
        <w:rPr>
          <w:rFonts w:ascii="Times New Roman" w:hAnsi="Times New Roman"/>
          <w:sz w:val="25"/>
          <w:szCs w:val="25"/>
        </w:rPr>
        <w:t xml:space="preserve"> тому числі, на характер суспільної шкоди, нанесеної внаслідок такого правопорушення, зобов’язаний вживати належних, дієвих заходів для її розгляду, не допускати безпідставних зволікань із таким розглядом, оскільки несвоєчасність розгляду справи у цьому випадку може мати наслідком ухилення особи від передбаченої законом відповідальності та не сприятиме досягненню мети юридичної відповідальності.</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Не можна вважати допустимим порушення таких строків через зайнятість та відпустки судді, призначення судових засідань із великими інтервалами, затягування з передачею справи з одного суду до іншого у встановлених законом випадках, безпідставне задоволення необґрунтованих клопотань учасників процесу, що спричинило відкладення розгляду справи на тривалий час, відкладення справи через її неналежну підготовку до судового розгляду, невжиття заходів щодо недопущення недобросовісної поведінки учасників справи тощо, оскільки наведені причини свідчать про низький рівень організації судочинства та безвідповідальне ставлення до виконання своїх обов’язків.</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Водночас для встановлення в діях судді судової тяганини, що, на думку ГРД, допустила Кондратьєва Н.А., недостатньо одного лише факту несвоєчасного виконання обов’язкових дій, важливими є також конкретні причини, умови та обставини, через які передбачені законом обов’язкові дії були здійснені з порушенням строків. Значення мають юридичний зміст, значимість, тривалість та межі бездіяльності, фактичні підстави її припинення, а також настання негативних наслідків для прав та інтересів особи.</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Така позиція викладена в постанові Великої Палати Верховного Суду від 19 квітня 2018 року у справі № П/9901/137/18 (800/426/17).</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Крім того, Велика Палата Верховного Суду в постанові від 10 лютого 2022 року (справа № 11-442сап20) зробила висновок, що обов’язковою умовою для встановлення в діях судді ознак невжиття заходів щодо розгляду заяви, скарги чи справи протягом строку, </w:t>
      </w:r>
      <w:r w:rsidRPr="001D1CD0">
        <w:rPr>
          <w:rFonts w:ascii="Times New Roman" w:hAnsi="Times New Roman"/>
          <w:sz w:val="25"/>
          <w:szCs w:val="25"/>
        </w:rPr>
        <w:lastRenderedPageBreak/>
        <w:t>в</w:t>
      </w:r>
      <w:r w:rsidR="00CE48DC">
        <w:rPr>
          <w:rFonts w:ascii="Times New Roman" w:hAnsi="Times New Roman"/>
          <w:sz w:val="25"/>
          <w:szCs w:val="25"/>
        </w:rPr>
        <w:t>изначеного</w:t>
      </w:r>
      <w:r w:rsidRPr="001D1CD0">
        <w:rPr>
          <w:rFonts w:ascii="Times New Roman" w:hAnsi="Times New Roman"/>
          <w:sz w:val="25"/>
          <w:szCs w:val="25"/>
        </w:rPr>
        <w:t xml:space="preserve"> законом, є встановлення обставин, які свідчать, що таке мало місце у зв’язку з безпідставним невчиненням суддею дій, спрямованих на забезпечення їх розгляду протягом строку, передбаченого законом.</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Оцінюючи дії судді, у цьому випадку Комісія враховує постанову Великої Палати Верховного Суду від 11 лютого 2021 року у справі № 11-1219сап19, у якій наголошено, що відсутність чітко встановленого законом порядку розгляду справ про адміністративне правопорушення або неузгодженість його елементів унеможливлює настання відповідальності судді за свободу суддівського розсуду, тобто можливість судді обирати (визначати) найбільш оптимальний варіант рішення (дії) з кількох юридично допустимих його (її) варіантів.</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Крім того, у межах відповідного провадження особі має бути забезпечено можливість реалізувати гарантовані статтею 6 Конвенції права на захист цивільного права (у широкому тлумаченні цього поняття, яке застосовується ЄСПЛ), а також під час розгляду справи щодо висунутого проти неї обвинувачення з </w:t>
      </w:r>
      <w:r w:rsidR="00AC3DDA">
        <w:rPr>
          <w:rFonts w:ascii="Times New Roman" w:hAnsi="Times New Roman"/>
          <w:sz w:val="25"/>
          <w:szCs w:val="25"/>
        </w:rPr>
        <w:t>погляду</w:t>
      </w:r>
      <w:r w:rsidRPr="001D1CD0">
        <w:rPr>
          <w:rFonts w:ascii="Times New Roman" w:hAnsi="Times New Roman"/>
          <w:sz w:val="25"/>
          <w:szCs w:val="25"/>
        </w:rPr>
        <w:t xml:space="preserve"> Конвенції (зокрема, у тих випадках, коли це правопорушення спричинило для особи покарання, яке за своїм характером і за ступенем суворості належить, як правило, до «кримінальної» сфери).</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Також згідно з Рішенням Конституційного Суду України від 22 грудня 2010 року</w:t>
      </w:r>
      <w:r w:rsidR="00C75FBC">
        <w:rPr>
          <w:rFonts w:ascii="Times New Roman" w:hAnsi="Times New Roman"/>
          <w:sz w:val="25"/>
          <w:szCs w:val="25"/>
          <w:lang w:val="en-US"/>
        </w:rPr>
        <w:t xml:space="preserve"> </w:t>
      </w:r>
      <w:bookmarkStart w:id="0" w:name="_GoBack"/>
      <w:bookmarkEnd w:id="0"/>
      <w:r w:rsidRPr="001D1CD0">
        <w:rPr>
          <w:rFonts w:ascii="Times New Roman" w:hAnsi="Times New Roman"/>
          <w:sz w:val="25"/>
          <w:szCs w:val="25"/>
        </w:rPr>
        <w:t>№ 1-34/2010 (пункти 4.1, 4.2) адміністративна відповідальність в Україні та процедура притягнення до адміністративної відповідальності ґрунтуються на конституційних принципах та правових презумпціях, які зумовлені визнанням і дією принципу верховенства права в Україні. Справа про адміністративне правопорушення розглядається в присутності особи, яка притягається до адміністративної відповідальності; під час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За приписами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по справі про адміністративні правопорушення, повідомляються про день </w:t>
      </w:r>
      <w:r w:rsidR="00920803">
        <w:rPr>
          <w:rFonts w:ascii="Times New Roman" w:hAnsi="Times New Roman"/>
          <w:sz w:val="25"/>
          <w:szCs w:val="25"/>
        </w:rPr>
        <w:t xml:space="preserve">розгляду справи в той же строк </w:t>
      </w:r>
      <w:r w:rsidRPr="001D1CD0">
        <w:rPr>
          <w:rFonts w:ascii="Times New Roman" w:hAnsi="Times New Roman"/>
          <w:sz w:val="25"/>
          <w:szCs w:val="25"/>
        </w:rPr>
        <w:t>(стаття 277-2 КУпАП).</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Водночас статтею 38 КУпАП (у редакції, чинній на момент ухвалення постанов) встановлено строки накладення адміністративних стягнень. Частиною другою цієї статті передбачалось: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 xml:space="preserve">Закінчення на момент розгляду справи про адміністративне правопорушення передбачених статтею 38 цього Кодексу строків виключає здійснення провадження в </w:t>
      </w:r>
      <w:r w:rsidRPr="001D1CD0">
        <w:rPr>
          <w:rFonts w:ascii="Times New Roman" w:hAnsi="Times New Roman"/>
          <w:sz w:val="25"/>
          <w:szCs w:val="25"/>
        </w:rPr>
        <w:lastRenderedPageBreak/>
        <w:t>справі про адміністративне правопорушення та є підставою для його закриття (пункт 7 статті 247 КУпАП).</w:t>
      </w:r>
    </w:p>
    <w:p w:rsidR="001D1CD0" w:rsidRPr="001D1CD0" w:rsidRDefault="001D1CD0" w:rsidP="001D1CD0">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Із наданих суддею пояснень та документів Комісія встановила, що причини, через які справи про адм</w:t>
      </w:r>
      <w:r w:rsidR="002031C2">
        <w:rPr>
          <w:rFonts w:ascii="Times New Roman" w:hAnsi="Times New Roman"/>
          <w:sz w:val="25"/>
          <w:szCs w:val="25"/>
        </w:rPr>
        <w:t xml:space="preserve">іністративні правопорушення №№ </w:t>
      </w:r>
      <w:r w:rsidRPr="001D1CD0">
        <w:rPr>
          <w:rFonts w:ascii="Times New Roman" w:hAnsi="Times New Roman"/>
          <w:sz w:val="25"/>
          <w:szCs w:val="25"/>
        </w:rPr>
        <w:t>460/2745/18, 460/4049/17, 460/2574/17, 460/2462/18, 460/2736/18, 460/1846/17, 460/4009/17, 460/4186/18, 460/622/19 не розглян</w:t>
      </w:r>
      <w:r w:rsidR="00AC3DDA">
        <w:rPr>
          <w:rFonts w:ascii="Times New Roman" w:hAnsi="Times New Roman"/>
          <w:sz w:val="25"/>
          <w:szCs w:val="25"/>
        </w:rPr>
        <w:t>ено</w:t>
      </w:r>
      <w:r w:rsidRPr="001D1CD0">
        <w:rPr>
          <w:rFonts w:ascii="Times New Roman" w:hAnsi="Times New Roman"/>
          <w:sz w:val="25"/>
          <w:szCs w:val="25"/>
        </w:rPr>
        <w:t xml:space="preserve"> </w:t>
      </w:r>
      <w:r w:rsidR="00AC3DDA">
        <w:rPr>
          <w:rFonts w:ascii="Times New Roman" w:hAnsi="Times New Roman"/>
          <w:sz w:val="25"/>
          <w:szCs w:val="25"/>
        </w:rPr>
        <w:t>в</w:t>
      </w:r>
      <w:r w:rsidRPr="001D1CD0">
        <w:rPr>
          <w:rFonts w:ascii="Times New Roman" w:hAnsi="Times New Roman"/>
          <w:sz w:val="25"/>
          <w:szCs w:val="25"/>
        </w:rPr>
        <w:t xml:space="preserve"> межах строку накладення адміністративного стягнення, пов’язані з таким: необхідністю повернення справ для належного оформлення протоколів про адміністративні правопорушення (справа № 460/622/19); необхідністю повернення справ для належного оформлення протоколів, надходження цих справ до суду з порушенням строків, передбачених статтею 38 КУпАП (справи №№ 460/4009/17, 460/4186/18); викликом свідків та дослідженням доказів у справі, надсиланням запитів, іншими обставинами (справи №№ 460/2745/18, 460/2574/17, 460/2745/18, 460/2736/18, 460/1846/17); надходженням матеріалів за 17 днів до закінчення строку накладення адміністративного </w:t>
      </w:r>
      <w:r w:rsidR="002031C2">
        <w:rPr>
          <w:rFonts w:ascii="Times New Roman" w:hAnsi="Times New Roman"/>
          <w:sz w:val="25"/>
          <w:szCs w:val="25"/>
        </w:rPr>
        <w:t>стягнення (справа № 460/4049/17</w:t>
      </w:r>
      <w:r w:rsidRPr="001D1CD0">
        <w:rPr>
          <w:rFonts w:ascii="Times New Roman" w:hAnsi="Times New Roman"/>
          <w:sz w:val="25"/>
          <w:szCs w:val="25"/>
        </w:rPr>
        <w:t>)</w:t>
      </w:r>
      <w:r w:rsidR="00AC3DDA">
        <w:rPr>
          <w:rFonts w:ascii="Times New Roman" w:hAnsi="Times New Roman"/>
          <w:sz w:val="25"/>
          <w:szCs w:val="25"/>
        </w:rPr>
        <w:t>;</w:t>
      </w:r>
      <w:r w:rsidRPr="001D1CD0">
        <w:rPr>
          <w:rFonts w:ascii="Times New Roman" w:hAnsi="Times New Roman"/>
          <w:sz w:val="25"/>
          <w:szCs w:val="25"/>
        </w:rPr>
        <w:t xml:space="preserve"> надходженням матеріалів через місяць після вчинення правопорушення, відпустк</w:t>
      </w:r>
      <w:r w:rsidR="00AC3DDA">
        <w:rPr>
          <w:rFonts w:ascii="Times New Roman" w:hAnsi="Times New Roman"/>
          <w:sz w:val="25"/>
          <w:szCs w:val="25"/>
        </w:rPr>
        <w:t>ою</w:t>
      </w:r>
      <w:r w:rsidRPr="001D1CD0">
        <w:rPr>
          <w:rFonts w:ascii="Times New Roman" w:hAnsi="Times New Roman"/>
          <w:sz w:val="25"/>
          <w:szCs w:val="25"/>
        </w:rPr>
        <w:t xml:space="preserve"> судді та клопотанням про відкладення</w:t>
      </w:r>
      <w:r w:rsidR="00AC3DDA">
        <w:rPr>
          <w:rFonts w:ascii="Times New Roman" w:hAnsi="Times New Roman"/>
          <w:sz w:val="25"/>
          <w:szCs w:val="25"/>
        </w:rPr>
        <w:t xml:space="preserve"> розгляду справи</w:t>
      </w:r>
      <w:r w:rsidRPr="001D1CD0">
        <w:rPr>
          <w:rFonts w:ascii="Times New Roman" w:hAnsi="Times New Roman"/>
          <w:sz w:val="25"/>
          <w:szCs w:val="25"/>
        </w:rPr>
        <w:t xml:space="preserve"> від особи, яка притягається до відповідальності (справа № 460/2462/18).</w:t>
      </w:r>
    </w:p>
    <w:p w:rsidR="00EA55E5" w:rsidRDefault="001D1CD0" w:rsidP="00EA55E5">
      <w:pPr>
        <w:shd w:val="clear" w:color="auto" w:fill="FFFFFF"/>
        <w:spacing w:after="0" w:line="240" w:lineRule="auto"/>
        <w:ind w:firstLine="708"/>
        <w:jc w:val="both"/>
        <w:rPr>
          <w:rFonts w:ascii="Times New Roman" w:hAnsi="Times New Roman"/>
          <w:sz w:val="25"/>
          <w:szCs w:val="25"/>
        </w:rPr>
      </w:pPr>
      <w:r w:rsidRPr="001D1CD0">
        <w:rPr>
          <w:rFonts w:ascii="Times New Roman" w:hAnsi="Times New Roman"/>
          <w:sz w:val="25"/>
          <w:szCs w:val="25"/>
        </w:rPr>
        <w:t>Узагальнюючи встановлені та досліджені обставини, Комісія вважає переконливими пояснення судді, що причини, з яких закрито провадження у справах, вказаних ГРД, переважно мали об’єктивний характер. Отже, висновок про допущення суддею судової тяганини, що призвела до систематичного порушення встановлених строків розгляду справ та стала причиною уникнення порушниками покарання у зв’язку із закінченням строків притягнення їх до відпо</w:t>
      </w:r>
      <w:r w:rsidR="00EA55E5">
        <w:rPr>
          <w:rFonts w:ascii="Times New Roman" w:hAnsi="Times New Roman"/>
          <w:sz w:val="25"/>
          <w:szCs w:val="25"/>
        </w:rPr>
        <w:t>відальності, є необґрунтованим.</w:t>
      </w:r>
    </w:p>
    <w:p w:rsidR="00BA13B1" w:rsidRPr="00F36270" w:rsidRDefault="00EA55E5" w:rsidP="00EA55E5">
      <w:pPr>
        <w:shd w:val="clear" w:color="auto" w:fill="FFFFFF"/>
        <w:spacing w:after="0" w:line="240" w:lineRule="auto"/>
        <w:ind w:firstLine="708"/>
        <w:jc w:val="both"/>
        <w:rPr>
          <w:rFonts w:ascii="Times New Roman" w:hAnsi="Times New Roman"/>
          <w:sz w:val="25"/>
          <w:szCs w:val="25"/>
        </w:rPr>
      </w:pPr>
      <w:r w:rsidRPr="00743DEE">
        <w:rPr>
          <w:rFonts w:ascii="Times New Roman" w:hAnsi="Times New Roman"/>
          <w:sz w:val="25"/>
          <w:szCs w:val="25"/>
        </w:rPr>
        <w:t>В</w:t>
      </w:r>
      <w:r w:rsidR="00AC3DDA">
        <w:rPr>
          <w:rFonts w:ascii="Times New Roman" w:hAnsi="Times New Roman"/>
          <w:sz w:val="25"/>
          <w:szCs w:val="25"/>
        </w:rPr>
        <w:t xml:space="preserve">становлені обставини, </w:t>
      </w:r>
      <w:r w:rsidR="001D1CD0" w:rsidRPr="00743DEE">
        <w:rPr>
          <w:rFonts w:ascii="Times New Roman" w:hAnsi="Times New Roman"/>
          <w:sz w:val="25"/>
          <w:szCs w:val="25"/>
        </w:rPr>
        <w:t>надан</w:t>
      </w:r>
      <w:r w:rsidR="00AC3DDA">
        <w:rPr>
          <w:rFonts w:ascii="Times New Roman" w:hAnsi="Times New Roman"/>
          <w:sz w:val="25"/>
          <w:szCs w:val="25"/>
        </w:rPr>
        <w:t>і</w:t>
      </w:r>
      <w:r w:rsidR="001D1CD0" w:rsidRPr="00743DEE">
        <w:rPr>
          <w:rFonts w:ascii="Times New Roman" w:hAnsi="Times New Roman"/>
          <w:sz w:val="25"/>
          <w:szCs w:val="25"/>
        </w:rPr>
        <w:t xml:space="preserve"> суддею пояснення</w:t>
      </w:r>
      <w:r w:rsidR="00AC3DDA">
        <w:rPr>
          <w:rFonts w:ascii="Times New Roman" w:hAnsi="Times New Roman"/>
          <w:sz w:val="25"/>
          <w:szCs w:val="25"/>
        </w:rPr>
        <w:t xml:space="preserve"> та докази</w:t>
      </w:r>
      <w:r w:rsidR="001D1CD0" w:rsidRPr="00743DEE">
        <w:rPr>
          <w:rFonts w:ascii="Times New Roman" w:hAnsi="Times New Roman"/>
          <w:sz w:val="25"/>
          <w:szCs w:val="25"/>
        </w:rPr>
        <w:t>, які їх підтверджують, впливають на загальну оцінку відповідності судді критеріям доброчесності та професійної етики, а також є підставою для визнання її такою, що відповідає займаній посаді.</w:t>
      </w:r>
    </w:p>
    <w:p w:rsidR="009F10A4" w:rsidRPr="00F36270" w:rsidRDefault="009F10A4" w:rsidP="009F10A4">
      <w:pPr>
        <w:shd w:val="clear" w:color="auto" w:fill="FFFFFF"/>
        <w:spacing w:after="0" w:line="240" w:lineRule="auto"/>
        <w:ind w:firstLine="709"/>
        <w:jc w:val="both"/>
        <w:rPr>
          <w:rFonts w:ascii="Times New Roman" w:hAnsi="Times New Roman"/>
          <w:sz w:val="25"/>
          <w:szCs w:val="25"/>
          <w:shd w:val="clear" w:color="auto" w:fill="FFFFFF"/>
        </w:rPr>
      </w:pPr>
      <w:r w:rsidRPr="00F36270">
        <w:rPr>
          <w:rFonts w:ascii="Times New Roman" w:hAnsi="Times New Roman"/>
          <w:sz w:val="25"/>
          <w:szCs w:val="25"/>
          <w:shd w:val="clear" w:color="auto" w:fill="FFFFFF"/>
        </w:rPr>
        <w:t>Підсумовуючи результати кваліфікаційного оцінювання судді Кондратьєвої Н.А. на етапі дослідження досьє та проведення співбесіди, Комісія у пленарному складі вважає надані пояснення та наведені аргументи судді, інші фактичні дані, встановлені під час дослідження досьє, переконливими та такими, що можуть вважатись достатніми для спростування сумнівів у відповідності судді критері</w:t>
      </w:r>
      <w:r w:rsidR="00AC3DDA">
        <w:rPr>
          <w:rFonts w:ascii="Times New Roman" w:hAnsi="Times New Roman"/>
          <w:sz w:val="25"/>
          <w:szCs w:val="25"/>
          <w:shd w:val="clear" w:color="auto" w:fill="FFFFFF"/>
        </w:rPr>
        <w:t>ям</w:t>
      </w:r>
      <w:r w:rsidRPr="00F36270">
        <w:rPr>
          <w:rFonts w:ascii="Times New Roman" w:hAnsi="Times New Roman"/>
          <w:sz w:val="25"/>
          <w:szCs w:val="25"/>
          <w:shd w:val="clear" w:color="auto" w:fill="FFFFFF"/>
        </w:rPr>
        <w:t xml:space="preserve"> доброчесності та професійної етики.</w:t>
      </w:r>
    </w:p>
    <w:p w:rsidR="001D1CD0" w:rsidRDefault="009F10A4" w:rsidP="009F10A4">
      <w:pPr>
        <w:shd w:val="clear" w:color="auto" w:fill="FFFFFF"/>
        <w:spacing w:after="0" w:line="240" w:lineRule="auto"/>
        <w:ind w:firstLine="709"/>
        <w:jc w:val="both"/>
        <w:rPr>
          <w:rFonts w:ascii="Times New Roman" w:hAnsi="Times New Roman"/>
          <w:sz w:val="25"/>
          <w:szCs w:val="25"/>
          <w:shd w:val="clear" w:color="auto" w:fill="FFFFFF"/>
        </w:rPr>
      </w:pPr>
      <w:r w:rsidRPr="00F36270">
        <w:rPr>
          <w:rFonts w:ascii="Times New Roman" w:hAnsi="Times New Roman"/>
          <w:sz w:val="25"/>
          <w:szCs w:val="25"/>
          <w:shd w:val="clear" w:color="auto" w:fill="FFFFFF"/>
        </w:rPr>
        <w:t>Комісія у пленарному складі не знаходить підста</w:t>
      </w:r>
      <w:r w:rsidRPr="00743DEE">
        <w:rPr>
          <w:rFonts w:ascii="Times New Roman" w:hAnsi="Times New Roman"/>
          <w:sz w:val="25"/>
          <w:szCs w:val="25"/>
          <w:shd w:val="clear" w:color="auto" w:fill="FFFFFF"/>
        </w:rPr>
        <w:t>в для оцінки вказаної у висновку ГРД інформації іншим чином, ніж це здійснено</w:t>
      </w:r>
      <w:r w:rsidRPr="009F10A4">
        <w:rPr>
          <w:rFonts w:ascii="Times New Roman" w:hAnsi="Times New Roman"/>
          <w:sz w:val="25"/>
          <w:szCs w:val="25"/>
          <w:shd w:val="clear" w:color="auto" w:fill="FFFFFF"/>
        </w:rPr>
        <w:t xml:space="preserve"> колегією в рішенні від</w:t>
      </w:r>
      <w:r>
        <w:rPr>
          <w:rFonts w:ascii="Times New Roman" w:hAnsi="Times New Roman"/>
          <w:sz w:val="25"/>
          <w:szCs w:val="25"/>
          <w:shd w:val="clear" w:color="auto" w:fill="FFFFFF"/>
        </w:rPr>
        <w:t xml:space="preserve"> 17 вересня </w:t>
      </w:r>
      <w:r w:rsidR="00EA55E5">
        <w:rPr>
          <w:rFonts w:ascii="Times New Roman" w:hAnsi="Times New Roman"/>
          <w:sz w:val="25"/>
          <w:szCs w:val="25"/>
          <w:shd w:val="clear" w:color="auto" w:fill="FFFFFF"/>
        </w:rPr>
        <w:t>2024 </w:t>
      </w:r>
      <w:r>
        <w:rPr>
          <w:rFonts w:ascii="Times New Roman" w:hAnsi="Times New Roman"/>
          <w:sz w:val="25"/>
          <w:szCs w:val="25"/>
          <w:shd w:val="clear" w:color="auto" w:fill="FFFFFF"/>
        </w:rPr>
        <w:t>року № 150</w:t>
      </w:r>
      <w:r w:rsidRPr="009F10A4">
        <w:rPr>
          <w:rFonts w:ascii="Times New Roman" w:hAnsi="Times New Roman"/>
          <w:sz w:val="25"/>
          <w:szCs w:val="25"/>
          <w:shd w:val="clear" w:color="auto" w:fill="FFFFFF"/>
        </w:rPr>
        <w:t>/ко-24.</w:t>
      </w:r>
    </w:p>
    <w:p w:rsidR="001D1CD0" w:rsidRPr="009F10A4" w:rsidRDefault="001D1CD0" w:rsidP="00E80D22">
      <w:pPr>
        <w:shd w:val="clear" w:color="auto" w:fill="FFFFFF"/>
        <w:spacing w:after="0" w:line="240" w:lineRule="auto"/>
        <w:ind w:firstLine="709"/>
        <w:jc w:val="both"/>
        <w:rPr>
          <w:rFonts w:ascii="Times New Roman" w:hAnsi="Times New Roman"/>
          <w:sz w:val="25"/>
          <w:szCs w:val="25"/>
          <w:shd w:val="clear" w:color="auto" w:fill="FFFFFF"/>
        </w:rPr>
      </w:pPr>
    </w:p>
    <w:p w:rsidR="00373221" w:rsidRPr="00E80D22" w:rsidRDefault="00F218C6" w:rsidP="00E80D22">
      <w:pPr>
        <w:shd w:val="clear" w:color="auto" w:fill="FFFFFF"/>
        <w:spacing w:after="0" w:line="240" w:lineRule="auto"/>
        <w:ind w:firstLine="709"/>
        <w:jc w:val="both"/>
        <w:rPr>
          <w:rFonts w:ascii="Times New Roman" w:hAnsi="Times New Roman"/>
          <w:b/>
          <w:sz w:val="25"/>
          <w:szCs w:val="25"/>
          <w:shd w:val="clear" w:color="auto" w:fill="FFFFFF"/>
        </w:rPr>
      </w:pPr>
      <w:r w:rsidRPr="00E80D22">
        <w:rPr>
          <w:rFonts w:ascii="Times New Roman" w:hAnsi="Times New Roman"/>
          <w:b/>
          <w:sz w:val="25"/>
          <w:szCs w:val="25"/>
          <w:shd w:val="clear" w:color="auto" w:fill="FFFFFF"/>
        </w:rPr>
        <w:t>Висновки Комісії за результатами розгляду.</w:t>
      </w:r>
    </w:p>
    <w:p w:rsidR="009F10A4" w:rsidRPr="00E80D22" w:rsidRDefault="009F10A4" w:rsidP="009F10A4">
      <w:pPr>
        <w:shd w:val="clear" w:color="auto" w:fill="FFFFFF"/>
        <w:spacing w:after="0" w:line="240" w:lineRule="auto"/>
        <w:ind w:firstLine="709"/>
        <w:jc w:val="both"/>
        <w:rPr>
          <w:rFonts w:ascii="Times New Roman" w:hAnsi="Times New Roman"/>
          <w:sz w:val="25"/>
          <w:szCs w:val="25"/>
          <w:shd w:val="clear" w:color="auto" w:fill="FFFFFF"/>
        </w:rPr>
      </w:pPr>
      <w:r w:rsidRPr="00E80D22">
        <w:rPr>
          <w:rFonts w:ascii="Times New Roman" w:hAnsi="Times New Roman"/>
          <w:sz w:val="25"/>
          <w:szCs w:val="25"/>
          <w:shd w:val="clear" w:color="auto" w:fill="FFFFFF"/>
        </w:rPr>
        <w:t xml:space="preserve">З огляду на вказане Комісія у пленарному складі, заслухавши доповідача, дослідивши рішення Комісії у складі колегії </w:t>
      </w:r>
      <w:r w:rsidRPr="009F10A4">
        <w:rPr>
          <w:rFonts w:ascii="Times New Roman" w:hAnsi="Times New Roman"/>
          <w:sz w:val="25"/>
          <w:szCs w:val="25"/>
          <w:shd w:val="clear" w:color="auto" w:fill="FFFFFF"/>
        </w:rPr>
        <w:t>від</w:t>
      </w:r>
      <w:r>
        <w:rPr>
          <w:rFonts w:ascii="Times New Roman" w:hAnsi="Times New Roman"/>
          <w:sz w:val="25"/>
          <w:szCs w:val="25"/>
          <w:shd w:val="clear" w:color="auto" w:fill="FFFFFF"/>
        </w:rPr>
        <w:t xml:space="preserve"> 17 вересня 2024 року № 150</w:t>
      </w:r>
      <w:r w:rsidRPr="009F10A4">
        <w:rPr>
          <w:rFonts w:ascii="Times New Roman" w:hAnsi="Times New Roman"/>
          <w:sz w:val="25"/>
          <w:szCs w:val="25"/>
          <w:shd w:val="clear" w:color="auto" w:fill="FFFFFF"/>
        </w:rPr>
        <w:t>/ко-24</w:t>
      </w:r>
      <w:r w:rsidRPr="00E80D22">
        <w:rPr>
          <w:rFonts w:ascii="Times New Roman" w:hAnsi="Times New Roman"/>
          <w:sz w:val="25"/>
          <w:szCs w:val="25"/>
          <w:shd w:val="clear" w:color="auto" w:fill="FFFFFF"/>
        </w:rPr>
        <w:t xml:space="preserve">, висновок ГРД, пояснення судді, інші зазначені вище в рішенні обставини, документи та матеріали, дійшла висновку про спростування обґрунтованого сумніву щодо відповідності судді </w:t>
      </w:r>
      <w:r>
        <w:rPr>
          <w:rFonts w:ascii="Times New Roman" w:hAnsi="Times New Roman"/>
          <w:sz w:val="25"/>
          <w:szCs w:val="25"/>
          <w:shd w:val="clear" w:color="auto" w:fill="FFFFFF"/>
        </w:rPr>
        <w:t>Кондратьєвої Н.А.</w:t>
      </w:r>
      <w:r w:rsidRPr="00E80D22">
        <w:rPr>
          <w:rFonts w:ascii="Times New Roman" w:hAnsi="Times New Roman"/>
          <w:sz w:val="25"/>
          <w:szCs w:val="25"/>
          <w:shd w:val="clear" w:color="auto" w:fill="FFFFFF"/>
        </w:rPr>
        <w:t xml:space="preserve"> критеріям доброчесності та професійної етики.</w:t>
      </w:r>
    </w:p>
    <w:p w:rsidR="009F10A4" w:rsidRPr="00E80D22" w:rsidRDefault="009F10A4" w:rsidP="009F10A4">
      <w:pPr>
        <w:shd w:val="clear" w:color="auto" w:fill="FFFFFF"/>
        <w:spacing w:after="0" w:line="240" w:lineRule="auto"/>
        <w:ind w:firstLine="709"/>
        <w:jc w:val="both"/>
        <w:rPr>
          <w:rFonts w:ascii="Times New Roman" w:hAnsi="Times New Roman"/>
          <w:sz w:val="25"/>
          <w:szCs w:val="25"/>
          <w:shd w:val="clear" w:color="auto" w:fill="FFFFFF"/>
        </w:rPr>
      </w:pPr>
      <w:r w:rsidRPr="00E80D22">
        <w:rPr>
          <w:rFonts w:ascii="Times New Roman" w:hAnsi="Times New Roman"/>
          <w:sz w:val="25"/>
          <w:szCs w:val="25"/>
          <w:shd w:val="clear" w:color="auto" w:fill="FFFFFF"/>
        </w:rPr>
        <w:t xml:space="preserve">Це своєю чергою є підставою для ухвалення рішення про визнання судді </w:t>
      </w:r>
      <w:r w:rsidR="006F155F" w:rsidRPr="006F155F">
        <w:rPr>
          <w:rFonts w:ascii="Times New Roman" w:hAnsi="Times New Roman"/>
          <w:sz w:val="25"/>
          <w:szCs w:val="25"/>
          <w:shd w:val="clear" w:color="auto" w:fill="FFFFFF"/>
        </w:rPr>
        <w:t>Яворівського районного суду Львівської області Кондратьєвої Н</w:t>
      </w:r>
      <w:r w:rsidR="006F155F">
        <w:rPr>
          <w:rFonts w:ascii="Times New Roman" w:hAnsi="Times New Roman"/>
          <w:sz w:val="25"/>
          <w:szCs w:val="25"/>
          <w:shd w:val="clear" w:color="auto" w:fill="FFFFFF"/>
        </w:rPr>
        <w:t>.</w:t>
      </w:r>
      <w:r w:rsidR="006F155F" w:rsidRPr="006F155F">
        <w:rPr>
          <w:rFonts w:ascii="Times New Roman" w:hAnsi="Times New Roman"/>
          <w:sz w:val="25"/>
          <w:szCs w:val="25"/>
          <w:shd w:val="clear" w:color="auto" w:fill="FFFFFF"/>
        </w:rPr>
        <w:t>А</w:t>
      </w:r>
      <w:r w:rsidR="006F155F">
        <w:rPr>
          <w:rFonts w:ascii="Times New Roman" w:hAnsi="Times New Roman"/>
          <w:sz w:val="25"/>
          <w:szCs w:val="25"/>
          <w:shd w:val="clear" w:color="auto" w:fill="FFFFFF"/>
        </w:rPr>
        <w:t>.</w:t>
      </w:r>
      <w:r w:rsidRPr="00E80D22">
        <w:rPr>
          <w:rFonts w:ascii="Times New Roman" w:hAnsi="Times New Roman"/>
          <w:sz w:val="25"/>
          <w:szCs w:val="25"/>
          <w:shd w:val="clear" w:color="auto" w:fill="FFFFFF"/>
        </w:rPr>
        <w:t xml:space="preserve"> такою, що відповідає займаній посаді.</w:t>
      </w:r>
    </w:p>
    <w:p w:rsidR="009F10A4" w:rsidRPr="00E80D22" w:rsidRDefault="009F10A4" w:rsidP="009F10A4">
      <w:pPr>
        <w:shd w:val="clear" w:color="auto" w:fill="FFFFFF"/>
        <w:spacing w:after="0" w:line="240" w:lineRule="auto"/>
        <w:ind w:firstLine="709"/>
        <w:jc w:val="both"/>
        <w:rPr>
          <w:rFonts w:ascii="Times New Roman" w:hAnsi="Times New Roman"/>
          <w:sz w:val="25"/>
          <w:szCs w:val="25"/>
          <w:shd w:val="clear" w:color="auto" w:fill="FFFFFF"/>
        </w:rPr>
      </w:pPr>
      <w:r w:rsidRPr="00E80D22">
        <w:rPr>
          <w:rFonts w:ascii="Times New Roman" w:hAnsi="Times New Roman"/>
          <w:sz w:val="25"/>
          <w:szCs w:val="25"/>
          <w:shd w:val="clear" w:color="auto" w:fill="FFFFFF"/>
        </w:rPr>
        <w:t>Ураховуючи результати кваліфікаційного оцінювання судді на відповідність займаній посаді, Комісія у пленарному складі дійшла висновку про необхідність внесення</w:t>
      </w:r>
      <w:r w:rsidR="00AC3DDA">
        <w:rPr>
          <w:rFonts w:ascii="Times New Roman" w:hAnsi="Times New Roman"/>
          <w:sz w:val="25"/>
          <w:szCs w:val="25"/>
          <w:shd w:val="clear" w:color="auto" w:fill="FFFFFF"/>
        </w:rPr>
        <w:t xml:space="preserve"> до</w:t>
      </w:r>
      <w:r w:rsidR="00AC3DDA" w:rsidRPr="00AC3DDA">
        <w:t xml:space="preserve"> </w:t>
      </w:r>
      <w:r w:rsidR="00AC3DDA">
        <w:rPr>
          <w:rFonts w:ascii="Times New Roman" w:hAnsi="Times New Roman"/>
          <w:sz w:val="25"/>
          <w:szCs w:val="25"/>
          <w:shd w:val="clear" w:color="auto" w:fill="FFFFFF"/>
        </w:rPr>
        <w:t>Вищої</w:t>
      </w:r>
      <w:r w:rsidR="00AC3DDA" w:rsidRPr="00AC3DDA">
        <w:rPr>
          <w:rFonts w:ascii="Times New Roman" w:hAnsi="Times New Roman"/>
          <w:sz w:val="25"/>
          <w:szCs w:val="25"/>
          <w:shd w:val="clear" w:color="auto" w:fill="FFFFFF"/>
        </w:rPr>
        <w:t xml:space="preserve"> рад</w:t>
      </w:r>
      <w:r w:rsidR="00AC3DDA">
        <w:rPr>
          <w:rFonts w:ascii="Times New Roman" w:hAnsi="Times New Roman"/>
          <w:sz w:val="25"/>
          <w:szCs w:val="25"/>
          <w:shd w:val="clear" w:color="auto" w:fill="FFFFFF"/>
        </w:rPr>
        <w:t>и</w:t>
      </w:r>
      <w:r w:rsidR="00AC3DDA" w:rsidRPr="00AC3DDA">
        <w:rPr>
          <w:rFonts w:ascii="Times New Roman" w:hAnsi="Times New Roman"/>
          <w:sz w:val="25"/>
          <w:szCs w:val="25"/>
          <w:shd w:val="clear" w:color="auto" w:fill="FFFFFF"/>
        </w:rPr>
        <w:t xml:space="preserve"> правосуддя</w:t>
      </w:r>
      <w:r w:rsidRPr="00E80D22">
        <w:rPr>
          <w:rFonts w:ascii="Times New Roman" w:hAnsi="Times New Roman"/>
          <w:sz w:val="25"/>
          <w:szCs w:val="25"/>
          <w:shd w:val="clear" w:color="auto" w:fill="FFFFFF"/>
        </w:rPr>
        <w:t xml:space="preserve"> рекомендації про призначення </w:t>
      </w:r>
      <w:r w:rsidR="006F155F" w:rsidRPr="006F155F">
        <w:rPr>
          <w:rFonts w:ascii="Times New Roman" w:hAnsi="Times New Roman"/>
          <w:sz w:val="25"/>
          <w:szCs w:val="25"/>
          <w:shd w:val="clear" w:color="auto" w:fill="FFFFFF"/>
        </w:rPr>
        <w:t>Кондратьєвої Н</w:t>
      </w:r>
      <w:r w:rsidR="006F155F">
        <w:rPr>
          <w:rFonts w:ascii="Times New Roman" w:hAnsi="Times New Roman"/>
          <w:sz w:val="25"/>
          <w:szCs w:val="25"/>
          <w:shd w:val="clear" w:color="auto" w:fill="FFFFFF"/>
        </w:rPr>
        <w:t>.</w:t>
      </w:r>
      <w:r w:rsidR="006F155F" w:rsidRPr="006F155F">
        <w:rPr>
          <w:rFonts w:ascii="Times New Roman" w:hAnsi="Times New Roman"/>
          <w:sz w:val="25"/>
          <w:szCs w:val="25"/>
          <w:shd w:val="clear" w:color="auto" w:fill="FFFFFF"/>
        </w:rPr>
        <w:t>А</w:t>
      </w:r>
      <w:r w:rsidR="006F155F">
        <w:rPr>
          <w:rFonts w:ascii="Times New Roman" w:hAnsi="Times New Roman"/>
          <w:sz w:val="25"/>
          <w:szCs w:val="25"/>
          <w:shd w:val="clear" w:color="auto" w:fill="FFFFFF"/>
        </w:rPr>
        <w:t>.</w:t>
      </w:r>
      <w:r w:rsidR="006F155F" w:rsidRPr="00E80D22">
        <w:rPr>
          <w:rFonts w:ascii="Times New Roman" w:hAnsi="Times New Roman"/>
          <w:sz w:val="25"/>
          <w:szCs w:val="25"/>
          <w:shd w:val="clear" w:color="auto" w:fill="FFFFFF"/>
        </w:rPr>
        <w:t xml:space="preserve"> </w:t>
      </w:r>
      <w:r w:rsidRPr="00E80D22">
        <w:rPr>
          <w:rFonts w:ascii="Times New Roman" w:hAnsi="Times New Roman"/>
          <w:sz w:val="25"/>
          <w:szCs w:val="25"/>
          <w:shd w:val="clear" w:color="auto" w:fill="FFFFFF"/>
        </w:rPr>
        <w:t xml:space="preserve"> на посаду судді </w:t>
      </w:r>
      <w:r w:rsidR="006F155F" w:rsidRPr="006F155F">
        <w:rPr>
          <w:rFonts w:ascii="Times New Roman" w:hAnsi="Times New Roman"/>
          <w:sz w:val="25"/>
          <w:szCs w:val="25"/>
          <w:shd w:val="clear" w:color="auto" w:fill="FFFFFF"/>
        </w:rPr>
        <w:t>Яворівського районного суду Львівської області</w:t>
      </w:r>
      <w:r w:rsidRPr="00E80D22">
        <w:rPr>
          <w:rFonts w:ascii="Times New Roman" w:hAnsi="Times New Roman"/>
          <w:sz w:val="25"/>
          <w:szCs w:val="25"/>
          <w:shd w:val="clear" w:color="auto" w:fill="FFFFFF"/>
        </w:rPr>
        <w:t>.</w:t>
      </w:r>
    </w:p>
    <w:p w:rsidR="003D4E0D" w:rsidRDefault="009F10A4" w:rsidP="00366EC3">
      <w:pPr>
        <w:shd w:val="clear" w:color="auto" w:fill="FFFFFF"/>
        <w:spacing w:after="0" w:line="240" w:lineRule="auto"/>
        <w:ind w:firstLine="709"/>
        <w:jc w:val="both"/>
        <w:rPr>
          <w:rFonts w:ascii="Times New Roman" w:hAnsi="Times New Roman"/>
          <w:sz w:val="25"/>
          <w:szCs w:val="25"/>
          <w:shd w:val="clear" w:color="auto" w:fill="FFFFFF"/>
        </w:rPr>
      </w:pPr>
      <w:r w:rsidRPr="00E80D22">
        <w:rPr>
          <w:rFonts w:ascii="Times New Roman" w:hAnsi="Times New Roman"/>
          <w:sz w:val="25"/>
          <w:szCs w:val="25"/>
          <w:shd w:val="clear" w:color="auto" w:fill="FFFFFF"/>
        </w:rPr>
        <w:t xml:space="preserve">Ураховуючи викладене, керуючись статтями 88, 93, 101 Закону України «Про судоустрій і статус суддів», абзацом шостим пункту 13 розділу III «Прикінцеві та перехідні </w:t>
      </w:r>
      <w:r w:rsidRPr="00E80D22">
        <w:rPr>
          <w:rFonts w:ascii="Times New Roman" w:hAnsi="Times New Roman"/>
          <w:sz w:val="25"/>
          <w:szCs w:val="25"/>
          <w:shd w:val="clear" w:color="auto" w:fill="FFFFFF"/>
        </w:rPr>
        <w:lastRenderedPageBreak/>
        <w:t xml:space="preserve">положення» Закону України «Про Вищу раду правосуддя», Комісія </w:t>
      </w:r>
      <w:r w:rsidR="00366EC3" w:rsidRPr="00366EC3">
        <w:rPr>
          <w:rFonts w:ascii="Times New Roman" w:hAnsi="Times New Roman"/>
          <w:sz w:val="25"/>
          <w:szCs w:val="25"/>
          <w:shd w:val="clear" w:color="auto" w:fill="FFFFFF"/>
        </w:rPr>
        <w:t xml:space="preserve">десятьма голосами «ЗА» та </w:t>
      </w:r>
      <w:r w:rsidR="002031C2">
        <w:rPr>
          <w:rFonts w:ascii="Times New Roman" w:hAnsi="Times New Roman"/>
          <w:sz w:val="25"/>
          <w:szCs w:val="25"/>
          <w:shd w:val="clear" w:color="auto" w:fill="FFFFFF"/>
        </w:rPr>
        <w:t>п’ятьма</w:t>
      </w:r>
      <w:r w:rsidR="00366EC3" w:rsidRPr="00366EC3">
        <w:rPr>
          <w:rFonts w:ascii="Times New Roman" w:hAnsi="Times New Roman"/>
          <w:sz w:val="25"/>
          <w:szCs w:val="25"/>
          <w:shd w:val="clear" w:color="auto" w:fill="FFFFFF"/>
        </w:rPr>
        <w:t xml:space="preserve"> голосами «ПРОТИ»</w:t>
      </w:r>
    </w:p>
    <w:p w:rsidR="00366EC3" w:rsidRPr="00E80D22" w:rsidRDefault="00366EC3" w:rsidP="00366EC3">
      <w:pPr>
        <w:shd w:val="clear" w:color="auto" w:fill="FFFFFF"/>
        <w:spacing w:after="0" w:line="240" w:lineRule="auto"/>
        <w:ind w:firstLine="709"/>
        <w:jc w:val="both"/>
        <w:rPr>
          <w:rFonts w:ascii="Times New Roman" w:eastAsia="Times New Roman" w:hAnsi="Times New Roman"/>
          <w:sz w:val="25"/>
          <w:szCs w:val="25"/>
          <w:lang w:eastAsia="uk-UA"/>
        </w:rPr>
      </w:pPr>
    </w:p>
    <w:p w:rsidR="00B42C09" w:rsidRPr="00E80D22" w:rsidRDefault="008411FE" w:rsidP="00E80D22">
      <w:pPr>
        <w:pStyle w:val="a5"/>
        <w:ind w:firstLine="708"/>
        <w:jc w:val="center"/>
        <w:rPr>
          <w:rFonts w:ascii="Times New Roman" w:eastAsia="Times New Roman" w:hAnsi="Times New Roman" w:cs="Times New Roman"/>
          <w:sz w:val="25"/>
          <w:szCs w:val="25"/>
          <w:lang w:eastAsia="uk-UA"/>
        </w:rPr>
      </w:pPr>
      <w:r w:rsidRPr="00E80D22">
        <w:rPr>
          <w:rFonts w:ascii="Times New Roman" w:eastAsia="Times New Roman" w:hAnsi="Times New Roman" w:cs="Times New Roman"/>
          <w:sz w:val="25"/>
          <w:szCs w:val="25"/>
          <w:lang w:eastAsia="uk-UA"/>
        </w:rPr>
        <w:t>вирішила:</w:t>
      </w:r>
    </w:p>
    <w:p w:rsidR="00B42C09" w:rsidRPr="00E80D22" w:rsidRDefault="00B42C09" w:rsidP="00E80D22">
      <w:pPr>
        <w:pStyle w:val="a5"/>
        <w:ind w:firstLine="708"/>
        <w:jc w:val="both"/>
        <w:rPr>
          <w:rFonts w:ascii="Times New Roman" w:eastAsia="Times New Roman" w:hAnsi="Times New Roman" w:cs="Times New Roman"/>
          <w:sz w:val="25"/>
          <w:szCs w:val="25"/>
          <w:lang w:eastAsia="uk-UA"/>
        </w:rPr>
      </w:pPr>
    </w:p>
    <w:p w:rsidR="00055E0D" w:rsidRPr="00055E0D" w:rsidRDefault="00055E0D" w:rsidP="00055E0D">
      <w:pPr>
        <w:pStyle w:val="a5"/>
        <w:ind w:firstLine="708"/>
        <w:jc w:val="both"/>
        <w:rPr>
          <w:rFonts w:ascii="Times New Roman" w:hAnsi="Times New Roman" w:cs="Times New Roman"/>
          <w:sz w:val="25"/>
          <w:szCs w:val="25"/>
        </w:rPr>
      </w:pPr>
      <w:r w:rsidRPr="00055E0D">
        <w:rPr>
          <w:rFonts w:ascii="Times New Roman" w:hAnsi="Times New Roman" w:cs="Times New Roman"/>
          <w:sz w:val="25"/>
          <w:szCs w:val="25"/>
        </w:rPr>
        <w:t>Визнати суддю Яворівського районного суду Львівської області Кондратьєву Наталію Анатоліївну такою, що відповідає займаній посаді.</w:t>
      </w:r>
    </w:p>
    <w:p w:rsidR="00982727" w:rsidRPr="00E80D22" w:rsidRDefault="00055E0D" w:rsidP="00055E0D">
      <w:pPr>
        <w:pStyle w:val="a5"/>
        <w:ind w:firstLine="708"/>
        <w:jc w:val="both"/>
        <w:rPr>
          <w:rFonts w:ascii="Times New Roman" w:hAnsi="Times New Roman" w:cs="Times New Roman"/>
          <w:sz w:val="25"/>
          <w:szCs w:val="25"/>
        </w:rPr>
      </w:pPr>
      <w:r w:rsidRPr="00055E0D">
        <w:rPr>
          <w:rFonts w:ascii="Times New Roman" w:hAnsi="Times New Roman" w:cs="Times New Roman"/>
          <w:sz w:val="25"/>
          <w:szCs w:val="25"/>
        </w:rPr>
        <w:t>Внести рекомендацію Вищій раді правосуддя про призначення Кондратьєвої Наталії Анатоліївни на посаду судді Яворівського районного суду Львівської області.</w:t>
      </w:r>
    </w:p>
    <w:p w:rsidR="00982727" w:rsidRPr="00E80D22" w:rsidRDefault="00982727" w:rsidP="00E80D22">
      <w:pPr>
        <w:pStyle w:val="a5"/>
        <w:ind w:firstLine="708"/>
        <w:jc w:val="both"/>
        <w:rPr>
          <w:rFonts w:ascii="Times New Roman" w:eastAsia="Times New Roman" w:hAnsi="Times New Roman" w:cs="Times New Roman"/>
          <w:sz w:val="25"/>
          <w:szCs w:val="25"/>
          <w:lang w:eastAsia="uk-UA"/>
        </w:rPr>
      </w:pPr>
    </w:p>
    <w:p w:rsidR="00FA2C64" w:rsidRPr="00E80D22" w:rsidRDefault="00FA2C64" w:rsidP="00E80D22">
      <w:pPr>
        <w:pStyle w:val="a5"/>
        <w:spacing w:line="276" w:lineRule="auto"/>
        <w:ind w:firstLine="708"/>
        <w:jc w:val="both"/>
        <w:rPr>
          <w:rFonts w:ascii="Times New Roman" w:eastAsia="Times New Roman" w:hAnsi="Times New Roman" w:cs="Times New Roman"/>
          <w:sz w:val="25"/>
          <w:szCs w:val="25"/>
          <w:lang w:eastAsia="uk-UA"/>
        </w:rPr>
      </w:pPr>
    </w:p>
    <w:p w:rsidR="0063197F" w:rsidRPr="00E80D22" w:rsidRDefault="0063197F" w:rsidP="00E80D22">
      <w:pPr>
        <w:spacing w:after="240" w:line="408" w:lineRule="auto"/>
        <w:jc w:val="both"/>
        <w:rPr>
          <w:rFonts w:ascii="Times New Roman" w:hAnsi="Times New Roman"/>
          <w:sz w:val="25"/>
          <w:szCs w:val="25"/>
        </w:rPr>
      </w:pPr>
      <w:r w:rsidRPr="00E80D22">
        <w:rPr>
          <w:rFonts w:ascii="Times New Roman" w:eastAsia="Times New Roman" w:hAnsi="Times New Roman"/>
          <w:color w:val="1D1D1B"/>
          <w:sz w:val="25"/>
          <w:szCs w:val="25"/>
          <w:shd w:val="clear" w:color="auto" w:fill="FFFFFF"/>
        </w:rPr>
        <w:t>Головуючий</w:t>
      </w:r>
      <w:r w:rsidRPr="00E80D22">
        <w:rPr>
          <w:rFonts w:ascii="Times New Roman" w:hAnsi="Times New Roman"/>
          <w:color w:val="1D1D1B"/>
          <w:sz w:val="25"/>
          <w:szCs w:val="25"/>
        </w:rPr>
        <w:tab/>
      </w:r>
      <w:r w:rsidR="006C37B9">
        <w:rPr>
          <w:color w:val="1D1D1B"/>
          <w:sz w:val="25"/>
          <w:szCs w:val="25"/>
        </w:rPr>
        <w:tab/>
      </w:r>
      <w:r w:rsidR="006C37B9">
        <w:rPr>
          <w:color w:val="1D1D1B"/>
          <w:sz w:val="25"/>
          <w:szCs w:val="25"/>
        </w:rPr>
        <w:tab/>
      </w:r>
      <w:r w:rsidR="006C37B9">
        <w:rPr>
          <w:color w:val="1D1D1B"/>
          <w:sz w:val="25"/>
          <w:szCs w:val="25"/>
        </w:rPr>
        <w:tab/>
      </w:r>
      <w:r w:rsidR="006C37B9">
        <w:rPr>
          <w:color w:val="1D1D1B"/>
          <w:sz w:val="25"/>
          <w:szCs w:val="25"/>
        </w:rPr>
        <w:tab/>
      </w:r>
      <w:r w:rsidR="006C37B9">
        <w:rPr>
          <w:color w:val="1D1D1B"/>
          <w:sz w:val="25"/>
          <w:szCs w:val="25"/>
        </w:rPr>
        <w:tab/>
      </w:r>
      <w:r w:rsidR="006C37B9">
        <w:rPr>
          <w:color w:val="1D1D1B"/>
          <w:sz w:val="25"/>
          <w:szCs w:val="25"/>
        </w:rPr>
        <w:tab/>
        <w:t xml:space="preserve">       </w:t>
      </w:r>
      <w:r w:rsidR="00D92313" w:rsidRPr="00E80D22">
        <w:rPr>
          <w:rFonts w:ascii="Times New Roman" w:hAnsi="Times New Roman"/>
          <w:sz w:val="25"/>
          <w:szCs w:val="25"/>
        </w:rPr>
        <w:t>А</w:t>
      </w:r>
      <w:r w:rsidRPr="00E80D22">
        <w:rPr>
          <w:rFonts w:ascii="Times New Roman" w:hAnsi="Times New Roman"/>
          <w:sz w:val="25"/>
          <w:szCs w:val="25"/>
        </w:rPr>
        <w:t>ндрій ПАСІЧНИК</w:t>
      </w:r>
      <w:r w:rsidR="00271062">
        <w:rPr>
          <w:rFonts w:ascii="Times New Roman" w:hAnsi="Times New Roman"/>
          <w:sz w:val="25"/>
          <w:szCs w:val="25"/>
        </w:rPr>
        <w:t xml:space="preserve"> (ЗА)</w:t>
      </w:r>
    </w:p>
    <w:p w:rsidR="0063197F" w:rsidRPr="006C37B9"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shd w:val="clear" w:color="auto" w:fill="FFFFFF"/>
        </w:rPr>
        <w:t>Члени Комісії:</w:t>
      </w:r>
      <w:r w:rsidR="006C37B9">
        <w:rPr>
          <w:color w:val="1D1D1B"/>
          <w:sz w:val="25"/>
          <w:szCs w:val="25"/>
        </w:rPr>
        <w:tab/>
      </w:r>
      <w:r w:rsidR="006C37B9">
        <w:rPr>
          <w:color w:val="1D1D1B"/>
          <w:sz w:val="25"/>
          <w:szCs w:val="25"/>
        </w:rPr>
        <w:tab/>
      </w:r>
      <w:r w:rsidR="006C37B9">
        <w:rPr>
          <w:color w:val="1D1D1B"/>
          <w:sz w:val="25"/>
          <w:szCs w:val="25"/>
        </w:rPr>
        <w:tab/>
      </w:r>
      <w:r w:rsidR="006C37B9">
        <w:rPr>
          <w:color w:val="1D1D1B"/>
          <w:sz w:val="25"/>
          <w:szCs w:val="25"/>
        </w:rPr>
        <w:tab/>
      </w:r>
      <w:r w:rsidR="006C37B9">
        <w:rPr>
          <w:color w:val="1D1D1B"/>
          <w:sz w:val="25"/>
          <w:szCs w:val="25"/>
        </w:rPr>
        <w:tab/>
      </w:r>
      <w:r w:rsidR="006C37B9">
        <w:rPr>
          <w:color w:val="1D1D1B"/>
          <w:sz w:val="25"/>
          <w:szCs w:val="25"/>
        </w:rPr>
        <w:tab/>
        <w:t xml:space="preserve">       </w:t>
      </w:r>
      <w:r w:rsidRPr="00E80D22">
        <w:rPr>
          <w:color w:val="1D1D1B"/>
          <w:sz w:val="25"/>
          <w:szCs w:val="25"/>
        </w:rPr>
        <w:t xml:space="preserve">Михайло БОГОНІС </w:t>
      </w:r>
      <w:r w:rsidR="006C37B9">
        <w:rPr>
          <w:color w:val="1D1D1B"/>
          <w:sz w:val="25"/>
          <w:szCs w:val="25"/>
          <w:lang w:val="uk-UA"/>
        </w:rPr>
        <w:t>(ЗА)</w:t>
      </w:r>
    </w:p>
    <w:p w:rsidR="0063197F" w:rsidRPr="006C37B9" w:rsidRDefault="006C37B9" w:rsidP="00E80D22">
      <w:pPr>
        <w:pStyle w:val="a6"/>
        <w:shd w:val="clear" w:color="auto" w:fill="FFFFFF"/>
        <w:spacing w:before="0" w:beforeAutospacing="0" w:after="240" w:afterAutospacing="0" w:line="408" w:lineRule="auto"/>
        <w:rPr>
          <w:color w:val="1D1D1B"/>
          <w:sz w:val="25"/>
          <w:szCs w:val="25"/>
          <w:lang w:val="uk-UA"/>
        </w:rPr>
      </w:pP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t xml:space="preserve">       </w:t>
      </w:r>
      <w:r w:rsidR="0063197F" w:rsidRPr="00E80D22">
        <w:rPr>
          <w:color w:val="1D1D1B"/>
          <w:sz w:val="25"/>
          <w:szCs w:val="25"/>
        </w:rPr>
        <w:t>Людмила ВОЛКОВА</w:t>
      </w:r>
      <w:r>
        <w:rPr>
          <w:color w:val="1D1D1B"/>
          <w:sz w:val="25"/>
          <w:szCs w:val="25"/>
          <w:lang w:val="uk-UA"/>
        </w:rPr>
        <w:t xml:space="preserve"> (ЗА)</w:t>
      </w:r>
    </w:p>
    <w:p w:rsidR="0063197F" w:rsidRPr="006C37B9" w:rsidRDefault="006C37B9" w:rsidP="00E80D22">
      <w:pPr>
        <w:pStyle w:val="a6"/>
        <w:shd w:val="clear" w:color="auto" w:fill="FFFFFF"/>
        <w:spacing w:before="0" w:beforeAutospacing="0" w:after="240" w:afterAutospacing="0" w:line="408" w:lineRule="auto"/>
        <w:rPr>
          <w:color w:val="1D1D1B"/>
          <w:sz w:val="25"/>
          <w:szCs w:val="25"/>
          <w:lang w:val="uk-UA"/>
        </w:rPr>
      </w:pP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t xml:space="preserve">       </w:t>
      </w:r>
      <w:r w:rsidR="0063197F" w:rsidRPr="00E80D22">
        <w:rPr>
          <w:color w:val="1D1D1B"/>
          <w:sz w:val="25"/>
          <w:szCs w:val="25"/>
        </w:rPr>
        <w:t xml:space="preserve">Віталій ГАЦЕЛЮК </w:t>
      </w:r>
      <w:r>
        <w:rPr>
          <w:color w:val="1D1D1B"/>
          <w:sz w:val="25"/>
          <w:szCs w:val="25"/>
          <w:lang w:val="uk-UA"/>
        </w:rPr>
        <w:t>(ПРОТИ)</w:t>
      </w:r>
    </w:p>
    <w:p w:rsidR="0063197F" w:rsidRPr="001C689D"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Pr="00E80D22">
        <w:rPr>
          <w:color w:val="1D1D1B"/>
          <w:sz w:val="25"/>
          <w:szCs w:val="25"/>
        </w:rPr>
        <w:t xml:space="preserve">Ярослав ДУХ </w:t>
      </w:r>
      <w:r w:rsidR="001C689D">
        <w:rPr>
          <w:color w:val="1D1D1B"/>
          <w:sz w:val="25"/>
          <w:szCs w:val="25"/>
          <w:lang w:val="uk-UA"/>
        </w:rPr>
        <w:t>(ЗА)</w:t>
      </w:r>
    </w:p>
    <w:p w:rsidR="0063197F" w:rsidRPr="001C689D"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Pr="00E80D22">
        <w:rPr>
          <w:color w:val="1D1D1B"/>
          <w:sz w:val="25"/>
          <w:szCs w:val="25"/>
        </w:rPr>
        <w:t xml:space="preserve">Роман КИДИСЮК </w:t>
      </w:r>
      <w:r w:rsidR="001C689D">
        <w:rPr>
          <w:color w:val="1D1D1B"/>
          <w:sz w:val="25"/>
          <w:szCs w:val="25"/>
          <w:lang w:val="uk-UA"/>
        </w:rPr>
        <w:t>(ЗА)</w:t>
      </w:r>
    </w:p>
    <w:p w:rsidR="0063197F" w:rsidRPr="001C689D"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Pr="00E80D22">
        <w:rPr>
          <w:color w:val="1D1D1B"/>
          <w:sz w:val="25"/>
          <w:szCs w:val="25"/>
        </w:rPr>
        <w:t>Надія КОБЕЦЬКА</w:t>
      </w:r>
      <w:r w:rsidR="001C689D">
        <w:rPr>
          <w:color w:val="1D1D1B"/>
          <w:sz w:val="25"/>
          <w:szCs w:val="25"/>
          <w:lang w:val="uk-UA"/>
        </w:rPr>
        <w:t xml:space="preserve"> (ЗА)</w:t>
      </w:r>
    </w:p>
    <w:p w:rsidR="0063197F" w:rsidRPr="001C689D"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Pr="00E80D22">
        <w:rPr>
          <w:color w:val="1D1D1B"/>
          <w:sz w:val="25"/>
          <w:szCs w:val="25"/>
        </w:rPr>
        <w:t>Олег КОЛІУШ</w:t>
      </w:r>
      <w:r w:rsidR="001C689D">
        <w:rPr>
          <w:color w:val="1D1D1B"/>
          <w:sz w:val="25"/>
          <w:szCs w:val="25"/>
          <w:lang w:val="uk-UA"/>
        </w:rPr>
        <w:t xml:space="preserve"> (ЗА)</w:t>
      </w:r>
    </w:p>
    <w:p w:rsidR="006C37B9" w:rsidRPr="006C37B9" w:rsidRDefault="006C37B9" w:rsidP="00E80D22">
      <w:pPr>
        <w:pStyle w:val="a6"/>
        <w:shd w:val="clear" w:color="auto" w:fill="FFFFFF"/>
        <w:spacing w:before="0" w:beforeAutospacing="0" w:after="240" w:afterAutospacing="0" w:line="408" w:lineRule="auto"/>
        <w:rPr>
          <w:color w:val="1D1D1B"/>
          <w:sz w:val="25"/>
          <w:szCs w:val="25"/>
          <w:lang w:val="uk-UA"/>
        </w:rPr>
      </w:pP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t xml:space="preserve">       Володимир ЛУГАНСЬК</w:t>
      </w:r>
      <w:r>
        <w:rPr>
          <w:color w:val="1D1D1B"/>
          <w:sz w:val="25"/>
          <w:szCs w:val="25"/>
          <w:lang w:val="uk-UA"/>
        </w:rPr>
        <w:t>ИЙ (ЗА)</w:t>
      </w:r>
    </w:p>
    <w:p w:rsidR="0063197F" w:rsidRPr="001C689D"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Pr="00E80D22">
        <w:rPr>
          <w:color w:val="1D1D1B"/>
          <w:sz w:val="25"/>
          <w:szCs w:val="25"/>
        </w:rPr>
        <w:t>Руслан МЕЛЬНИК</w:t>
      </w:r>
      <w:r w:rsidR="001C689D">
        <w:rPr>
          <w:color w:val="1D1D1B"/>
          <w:sz w:val="25"/>
          <w:szCs w:val="25"/>
          <w:lang w:val="uk-UA"/>
        </w:rPr>
        <w:t xml:space="preserve"> (ЗА)</w:t>
      </w:r>
    </w:p>
    <w:p w:rsidR="0063197F" w:rsidRPr="001C689D"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Pr="00E80D22">
        <w:rPr>
          <w:color w:val="1D1D1B"/>
          <w:sz w:val="25"/>
          <w:szCs w:val="25"/>
        </w:rPr>
        <w:t xml:space="preserve">Олексій ОМЕЛЬЯН </w:t>
      </w:r>
      <w:r w:rsidR="001C689D">
        <w:rPr>
          <w:color w:val="1D1D1B"/>
          <w:sz w:val="25"/>
          <w:szCs w:val="25"/>
          <w:lang w:val="uk-UA"/>
        </w:rPr>
        <w:t>(ПРОТИ)</w:t>
      </w:r>
    </w:p>
    <w:p w:rsidR="0063197F" w:rsidRPr="001C689D"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Pr="00E80D22">
        <w:rPr>
          <w:color w:val="1D1D1B"/>
          <w:sz w:val="25"/>
          <w:szCs w:val="25"/>
        </w:rPr>
        <w:t xml:space="preserve">Роман САБОДАШ </w:t>
      </w:r>
      <w:r w:rsidR="001C689D">
        <w:rPr>
          <w:color w:val="1D1D1B"/>
          <w:sz w:val="25"/>
          <w:szCs w:val="25"/>
          <w:lang w:val="uk-UA"/>
        </w:rPr>
        <w:t>(ПРОТИ)</w:t>
      </w:r>
    </w:p>
    <w:p w:rsidR="0063197F" w:rsidRPr="001C689D" w:rsidRDefault="00343784"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00870910" w:rsidRPr="00E80D22">
        <w:rPr>
          <w:color w:val="1D1D1B"/>
          <w:sz w:val="25"/>
          <w:szCs w:val="25"/>
          <w:shd w:val="clear" w:color="auto" w:fill="FFFFFF"/>
        </w:rPr>
        <w:t>Руслан СИДОРОВИЧ</w:t>
      </w:r>
      <w:r w:rsidR="001C689D">
        <w:rPr>
          <w:color w:val="1D1D1B"/>
          <w:sz w:val="25"/>
          <w:szCs w:val="25"/>
          <w:shd w:val="clear" w:color="auto" w:fill="FFFFFF"/>
          <w:lang w:val="uk-UA"/>
        </w:rPr>
        <w:t xml:space="preserve"> (ПРОТИ</w:t>
      </w:r>
      <w:r w:rsidR="00753DFB">
        <w:rPr>
          <w:color w:val="1D1D1B"/>
          <w:sz w:val="25"/>
          <w:szCs w:val="25"/>
          <w:shd w:val="clear" w:color="auto" w:fill="FFFFFF"/>
          <w:lang w:val="uk-UA"/>
        </w:rPr>
        <w:t>)</w:t>
      </w:r>
    </w:p>
    <w:p w:rsidR="0063197F" w:rsidRPr="001C689D"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Pr="00E80D22">
        <w:rPr>
          <w:color w:val="1D1D1B"/>
          <w:sz w:val="25"/>
          <w:szCs w:val="25"/>
        </w:rPr>
        <w:t xml:space="preserve">Сергій ЧУМАК </w:t>
      </w:r>
      <w:r w:rsidR="001C689D">
        <w:rPr>
          <w:color w:val="1D1D1B"/>
          <w:sz w:val="25"/>
          <w:szCs w:val="25"/>
          <w:lang w:val="uk-UA"/>
        </w:rPr>
        <w:t>(ПРОТИ)</w:t>
      </w:r>
    </w:p>
    <w:p w:rsidR="0063197F" w:rsidRPr="001C689D" w:rsidRDefault="0063197F" w:rsidP="00E80D22">
      <w:pPr>
        <w:pStyle w:val="a6"/>
        <w:shd w:val="clear" w:color="auto" w:fill="FFFFFF"/>
        <w:spacing w:before="0" w:beforeAutospacing="0" w:after="240" w:afterAutospacing="0" w:line="408" w:lineRule="auto"/>
        <w:rPr>
          <w:color w:val="1D1D1B"/>
          <w:sz w:val="25"/>
          <w:szCs w:val="25"/>
          <w:lang w:val="uk-UA"/>
        </w:rPr>
      </w:pP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Pr="00E80D22">
        <w:rPr>
          <w:color w:val="1D1D1B"/>
          <w:sz w:val="25"/>
          <w:szCs w:val="25"/>
        </w:rPr>
        <w:tab/>
      </w:r>
      <w:r w:rsidR="006C37B9">
        <w:rPr>
          <w:color w:val="1D1D1B"/>
          <w:sz w:val="25"/>
          <w:szCs w:val="25"/>
        </w:rPr>
        <w:t xml:space="preserve">       </w:t>
      </w:r>
      <w:r w:rsidRPr="00E80D22">
        <w:rPr>
          <w:color w:val="1D1D1B"/>
          <w:sz w:val="25"/>
          <w:szCs w:val="25"/>
        </w:rPr>
        <w:t>Галина ШЕВЧУК</w:t>
      </w:r>
      <w:r w:rsidR="001C689D">
        <w:rPr>
          <w:color w:val="1D1D1B"/>
          <w:sz w:val="25"/>
          <w:szCs w:val="25"/>
          <w:lang w:val="uk-UA"/>
        </w:rPr>
        <w:t xml:space="preserve"> (ЗА)</w:t>
      </w:r>
    </w:p>
    <w:sectPr w:rsidR="0063197F" w:rsidRPr="001C689D" w:rsidSect="00E80D2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EE6" w:rsidRDefault="00361EE6" w:rsidP="009A1CEE">
      <w:pPr>
        <w:spacing w:after="0" w:line="240" w:lineRule="auto"/>
      </w:pPr>
      <w:r>
        <w:separator/>
      </w:r>
    </w:p>
  </w:endnote>
  <w:endnote w:type="continuationSeparator" w:id="0">
    <w:p w:rsidR="00361EE6" w:rsidRDefault="00361EE6"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senal">
    <w:altName w:val="Calibri"/>
    <w:panose1 w:val="00000000000000000000"/>
    <w:charset w:val="00"/>
    <w:family w:val="auto"/>
    <w:notTrueType/>
    <w:pitch w:val="variable"/>
    <w:sig w:usb0="A000022F" w:usb1="5000C07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EE6" w:rsidRDefault="00361EE6" w:rsidP="009A1CEE">
      <w:pPr>
        <w:spacing w:after="0" w:line="240" w:lineRule="auto"/>
      </w:pPr>
      <w:r>
        <w:separator/>
      </w:r>
    </w:p>
  </w:footnote>
  <w:footnote w:type="continuationSeparator" w:id="0">
    <w:p w:rsidR="00361EE6" w:rsidRDefault="00361EE6"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897759"/>
      <w:docPartObj>
        <w:docPartGallery w:val="Page Numbers (Top of Page)"/>
        <w:docPartUnique/>
      </w:docPartObj>
    </w:sdtPr>
    <w:sdtEndPr/>
    <w:sdtContent>
      <w:p w:rsidR="00361EE6" w:rsidRDefault="00361EE6">
        <w:pPr>
          <w:pStyle w:val="a8"/>
          <w:jc w:val="center"/>
        </w:pPr>
        <w:r>
          <w:fldChar w:fldCharType="begin"/>
        </w:r>
        <w:r>
          <w:instrText>PAGE   \* MERGEFORMAT</w:instrText>
        </w:r>
        <w:r>
          <w:fldChar w:fldCharType="separate"/>
        </w:r>
        <w:r w:rsidR="00CD1BC2">
          <w:rPr>
            <w:noProof/>
          </w:rPr>
          <w:t>15</w:t>
        </w:r>
        <w:r>
          <w:fldChar w:fldCharType="end"/>
        </w:r>
      </w:p>
    </w:sdtContent>
  </w:sdt>
  <w:p w:rsidR="00361EE6" w:rsidRDefault="00361EE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769362A"/>
    <w:multiLevelType w:val="hybridMultilevel"/>
    <w:tmpl w:val="BEBCB6D2"/>
    <w:lvl w:ilvl="0" w:tplc="A7E482AE">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40B5"/>
    <w:rsid w:val="00005129"/>
    <w:rsid w:val="000078B7"/>
    <w:rsid w:val="00017499"/>
    <w:rsid w:val="0002123E"/>
    <w:rsid w:val="00021766"/>
    <w:rsid w:val="000228C8"/>
    <w:rsid w:val="00026906"/>
    <w:rsid w:val="000305FF"/>
    <w:rsid w:val="0003214E"/>
    <w:rsid w:val="00034E70"/>
    <w:rsid w:val="00036A67"/>
    <w:rsid w:val="0003768F"/>
    <w:rsid w:val="00042FD3"/>
    <w:rsid w:val="00043D0A"/>
    <w:rsid w:val="00043F41"/>
    <w:rsid w:val="00046B6E"/>
    <w:rsid w:val="00055B9D"/>
    <w:rsid w:val="00055E0D"/>
    <w:rsid w:val="000607D8"/>
    <w:rsid w:val="00061AE7"/>
    <w:rsid w:val="0006376E"/>
    <w:rsid w:val="00064287"/>
    <w:rsid w:val="0006459E"/>
    <w:rsid w:val="00064ADA"/>
    <w:rsid w:val="00075283"/>
    <w:rsid w:val="00077D93"/>
    <w:rsid w:val="000822FE"/>
    <w:rsid w:val="00085C4F"/>
    <w:rsid w:val="00085F5C"/>
    <w:rsid w:val="00090D58"/>
    <w:rsid w:val="000A3504"/>
    <w:rsid w:val="000A5D14"/>
    <w:rsid w:val="000A68D9"/>
    <w:rsid w:val="000A6B2A"/>
    <w:rsid w:val="000B1EC6"/>
    <w:rsid w:val="000B29A8"/>
    <w:rsid w:val="000B3FCA"/>
    <w:rsid w:val="000B5434"/>
    <w:rsid w:val="000C586D"/>
    <w:rsid w:val="000C65A2"/>
    <w:rsid w:val="000D0F7A"/>
    <w:rsid w:val="000D166F"/>
    <w:rsid w:val="000D4606"/>
    <w:rsid w:val="000D6D52"/>
    <w:rsid w:val="000E0B0E"/>
    <w:rsid w:val="000E146F"/>
    <w:rsid w:val="000E35A0"/>
    <w:rsid w:val="000F2183"/>
    <w:rsid w:val="000F6FC1"/>
    <w:rsid w:val="000F75A0"/>
    <w:rsid w:val="00105829"/>
    <w:rsid w:val="00105D36"/>
    <w:rsid w:val="001113B8"/>
    <w:rsid w:val="00111EB6"/>
    <w:rsid w:val="001126CB"/>
    <w:rsid w:val="00115039"/>
    <w:rsid w:val="00117888"/>
    <w:rsid w:val="001209BF"/>
    <w:rsid w:val="00124400"/>
    <w:rsid w:val="00125D44"/>
    <w:rsid w:val="00134B25"/>
    <w:rsid w:val="00136E92"/>
    <w:rsid w:val="00137E23"/>
    <w:rsid w:val="00146B57"/>
    <w:rsid w:val="00151833"/>
    <w:rsid w:val="00153C8C"/>
    <w:rsid w:val="001658C2"/>
    <w:rsid w:val="00166A40"/>
    <w:rsid w:val="00167AB2"/>
    <w:rsid w:val="00171999"/>
    <w:rsid w:val="00174017"/>
    <w:rsid w:val="00184A94"/>
    <w:rsid w:val="00184EDE"/>
    <w:rsid w:val="00184FA9"/>
    <w:rsid w:val="00185E5C"/>
    <w:rsid w:val="00192CEA"/>
    <w:rsid w:val="00194029"/>
    <w:rsid w:val="001948BD"/>
    <w:rsid w:val="001954DE"/>
    <w:rsid w:val="00196969"/>
    <w:rsid w:val="001A091E"/>
    <w:rsid w:val="001A3BDF"/>
    <w:rsid w:val="001A4660"/>
    <w:rsid w:val="001A524B"/>
    <w:rsid w:val="001A544E"/>
    <w:rsid w:val="001B00C5"/>
    <w:rsid w:val="001B1EE6"/>
    <w:rsid w:val="001B3267"/>
    <w:rsid w:val="001B4F6D"/>
    <w:rsid w:val="001B5BAC"/>
    <w:rsid w:val="001C1110"/>
    <w:rsid w:val="001C1E7C"/>
    <w:rsid w:val="001C3F87"/>
    <w:rsid w:val="001C4926"/>
    <w:rsid w:val="001C4DDC"/>
    <w:rsid w:val="001C5A3C"/>
    <w:rsid w:val="001C5AEC"/>
    <w:rsid w:val="001C689D"/>
    <w:rsid w:val="001D1CD0"/>
    <w:rsid w:val="001D75E2"/>
    <w:rsid w:val="001F1469"/>
    <w:rsid w:val="001F2B16"/>
    <w:rsid w:val="001F608B"/>
    <w:rsid w:val="001F7AB0"/>
    <w:rsid w:val="002031C2"/>
    <w:rsid w:val="00204669"/>
    <w:rsid w:val="002071B7"/>
    <w:rsid w:val="00211A96"/>
    <w:rsid w:val="00215DBC"/>
    <w:rsid w:val="00217836"/>
    <w:rsid w:val="00220391"/>
    <w:rsid w:val="002206D4"/>
    <w:rsid w:val="00225400"/>
    <w:rsid w:val="00225CBD"/>
    <w:rsid w:val="00230F0A"/>
    <w:rsid w:val="00243B26"/>
    <w:rsid w:val="002443CD"/>
    <w:rsid w:val="0024602B"/>
    <w:rsid w:val="00250CBE"/>
    <w:rsid w:val="002513B0"/>
    <w:rsid w:val="002520DE"/>
    <w:rsid w:val="00252107"/>
    <w:rsid w:val="00254D5B"/>
    <w:rsid w:val="00255A36"/>
    <w:rsid w:val="0026252F"/>
    <w:rsid w:val="002632ED"/>
    <w:rsid w:val="00270325"/>
    <w:rsid w:val="00271062"/>
    <w:rsid w:val="00273477"/>
    <w:rsid w:val="00274C4A"/>
    <w:rsid w:val="002808EE"/>
    <w:rsid w:val="00280B4C"/>
    <w:rsid w:val="00285B17"/>
    <w:rsid w:val="0028739A"/>
    <w:rsid w:val="002A086B"/>
    <w:rsid w:val="002A1F80"/>
    <w:rsid w:val="002A4C4F"/>
    <w:rsid w:val="002A5B22"/>
    <w:rsid w:val="002A7AA6"/>
    <w:rsid w:val="002B4449"/>
    <w:rsid w:val="002B4887"/>
    <w:rsid w:val="002B48BD"/>
    <w:rsid w:val="002B6283"/>
    <w:rsid w:val="002B6A60"/>
    <w:rsid w:val="002C24FC"/>
    <w:rsid w:val="002C3259"/>
    <w:rsid w:val="002D0386"/>
    <w:rsid w:val="002D534A"/>
    <w:rsid w:val="002D58F1"/>
    <w:rsid w:val="002E032B"/>
    <w:rsid w:val="002E1032"/>
    <w:rsid w:val="002E5BEC"/>
    <w:rsid w:val="002E5E68"/>
    <w:rsid w:val="002E65D4"/>
    <w:rsid w:val="002F12E5"/>
    <w:rsid w:val="002F58DB"/>
    <w:rsid w:val="002F6DFF"/>
    <w:rsid w:val="00305CFA"/>
    <w:rsid w:val="00305F0A"/>
    <w:rsid w:val="00305F8A"/>
    <w:rsid w:val="003104E1"/>
    <w:rsid w:val="00312370"/>
    <w:rsid w:val="00321857"/>
    <w:rsid w:val="00321879"/>
    <w:rsid w:val="003240DD"/>
    <w:rsid w:val="0032587C"/>
    <w:rsid w:val="00331D80"/>
    <w:rsid w:val="00333044"/>
    <w:rsid w:val="00335C03"/>
    <w:rsid w:val="00336031"/>
    <w:rsid w:val="003365CC"/>
    <w:rsid w:val="00343784"/>
    <w:rsid w:val="003452A3"/>
    <w:rsid w:val="003457A1"/>
    <w:rsid w:val="00345EA5"/>
    <w:rsid w:val="0034796A"/>
    <w:rsid w:val="00350B13"/>
    <w:rsid w:val="00353937"/>
    <w:rsid w:val="00361EE6"/>
    <w:rsid w:val="00364EF1"/>
    <w:rsid w:val="00365E6B"/>
    <w:rsid w:val="00366A26"/>
    <w:rsid w:val="00366EC3"/>
    <w:rsid w:val="00366F22"/>
    <w:rsid w:val="00373221"/>
    <w:rsid w:val="00375025"/>
    <w:rsid w:val="003778A7"/>
    <w:rsid w:val="00380912"/>
    <w:rsid w:val="003835CA"/>
    <w:rsid w:val="00392881"/>
    <w:rsid w:val="0039353D"/>
    <w:rsid w:val="00394227"/>
    <w:rsid w:val="00395486"/>
    <w:rsid w:val="003A1716"/>
    <w:rsid w:val="003A20C3"/>
    <w:rsid w:val="003A31B2"/>
    <w:rsid w:val="003B0714"/>
    <w:rsid w:val="003B0B8E"/>
    <w:rsid w:val="003B2726"/>
    <w:rsid w:val="003B2E41"/>
    <w:rsid w:val="003B2FFE"/>
    <w:rsid w:val="003B5648"/>
    <w:rsid w:val="003C5F30"/>
    <w:rsid w:val="003D0BC4"/>
    <w:rsid w:val="003D0E65"/>
    <w:rsid w:val="003D136C"/>
    <w:rsid w:val="003D221F"/>
    <w:rsid w:val="003D4E0D"/>
    <w:rsid w:val="003D5C7C"/>
    <w:rsid w:val="003E1499"/>
    <w:rsid w:val="003E1711"/>
    <w:rsid w:val="003E238C"/>
    <w:rsid w:val="003F25A0"/>
    <w:rsid w:val="003F3C7F"/>
    <w:rsid w:val="003F6B39"/>
    <w:rsid w:val="003F70C5"/>
    <w:rsid w:val="00401E5F"/>
    <w:rsid w:val="00404E6B"/>
    <w:rsid w:val="0041679F"/>
    <w:rsid w:val="00416C70"/>
    <w:rsid w:val="004205C0"/>
    <w:rsid w:val="004306EB"/>
    <w:rsid w:val="00431DDF"/>
    <w:rsid w:val="0043384D"/>
    <w:rsid w:val="004342CC"/>
    <w:rsid w:val="00435EFE"/>
    <w:rsid w:val="004378D3"/>
    <w:rsid w:val="004412FB"/>
    <w:rsid w:val="0044483C"/>
    <w:rsid w:val="004453F5"/>
    <w:rsid w:val="00445609"/>
    <w:rsid w:val="004467ED"/>
    <w:rsid w:val="004472EC"/>
    <w:rsid w:val="00447AFA"/>
    <w:rsid w:val="00451E46"/>
    <w:rsid w:val="00452534"/>
    <w:rsid w:val="00452DA4"/>
    <w:rsid w:val="004551C0"/>
    <w:rsid w:val="00460029"/>
    <w:rsid w:val="00463E9F"/>
    <w:rsid w:val="00464D0F"/>
    <w:rsid w:val="00467122"/>
    <w:rsid w:val="00470C82"/>
    <w:rsid w:val="00471636"/>
    <w:rsid w:val="00472851"/>
    <w:rsid w:val="00472FED"/>
    <w:rsid w:val="00473DE2"/>
    <w:rsid w:val="00475305"/>
    <w:rsid w:val="00475BA7"/>
    <w:rsid w:val="0047715C"/>
    <w:rsid w:val="00484950"/>
    <w:rsid w:val="00490083"/>
    <w:rsid w:val="004914C7"/>
    <w:rsid w:val="004979C8"/>
    <w:rsid w:val="00497FC7"/>
    <w:rsid w:val="004A05A6"/>
    <w:rsid w:val="004A0BAC"/>
    <w:rsid w:val="004A2BFC"/>
    <w:rsid w:val="004A2D8D"/>
    <w:rsid w:val="004A595B"/>
    <w:rsid w:val="004B49F5"/>
    <w:rsid w:val="004B5720"/>
    <w:rsid w:val="004B66A0"/>
    <w:rsid w:val="004B7A37"/>
    <w:rsid w:val="004C170A"/>
    <w:rsid w:val="004C4C01"/>
    <w:rsid w:val="004C4CC0"/>
    <w:rsid w:val="004C7543"/>
    <w:rsid w:val="004D1548"/>
    <w:rsid w:val="004D344E"/>
    <w:rsid w:val="004D364D"/>
    <w:rsid w:val="004D50B7"/>
    <w:rsid w:val="004D5DD8"/>
    <w:rsid w:val="004D6436"/>
    <w:rsid w:val="004E013E"/>
    <w:rsid w:val="004E1434"/>
    <w:rsid w:val="004E1BE1"/>
    <w:rsid w:val="004F3C30"/>
    <w:rsid w:val="004F7424"/>
    <w:rsid w:val="004F7A63"/>
    <w:rsid w:val="00503C67"/>
    <w:rsid w:val="00505AB1"/>
    <w:rsid w:val="00505DA4"/>
    <w:rsid w:val="005066F2"/>
    <w:rsid w:val="00510781"/>
    <w:rsid w:val="0051097D"/>
    <w:rsid w:val="00510BF4"/>
    <w:rsid w:val="00511981"/>
    <w:rsid w:val="00512817"/>
    <w:rsid w:val="005131AF"/>
    <w:rsid w:val="005218F6"/>
    <w:rsid w:val="005225B9"/>
    <w:rsid w:val="00522E7E"/>
    <w:rsid w:val="0052353E"/>
    <w:rsid w:val="00524098"/>
    <w:rsid w:val="00525D43"/>
    <w:rsid w:val="00527E99"/>
    <w:rsid w:val="00535042"/>
    <w:rsid w:val="005447E1"/>
    <w:rsid w:val="005459A1"/>
    <w:rsid w:val="00550F27"/>
    <w:rsid w:val="005572AC"/>
    <w:rsid w:val="00557A5E"/>
    <w:rsid w:val="00560BB2"/>
    <w:rsid w:val="005657F0"/>
    <w:rsid w:val="0056646C"/>
    <w:rsid w:val="0057181D"/>
    <w:rsid w:val="00574BD1"/>
    <w:rsid w:val="005800C1"/>
    <w:rsid w:val="0058329C"/>
    <w:rsid w:val="00585836"/>
    <w:rsid w:val="0058731E"/>
    <w:rsid w:val="005960DE"/>
    <w:rsid w:val="0059768C"/>
    <w:rsid w:val="0059779A"/>
    <w:rsid w:val="005A15A1"/>
    <w:rsid w:val="005A1929"/>
    <w:rsid w:val="005A3661"/>
    <w:rsid w:val="005A7B22"/>
    <w:rsid w:val="005B1B94"/>
    <w:rsid w:val="005B2874"/>
    <w:rsid w:val="005B394A"/>
    <w:rsid w:val="005B3BD3"/>
    <w:rsid w:val="005B4BE5"/>
    <w:rsid w:val="005C0F38"/>
    <w:rsid w:val="005C432F"/>
    <w:rsid w:val="005C53C5"/>
    <w:rsid w:val="005D1B3D"/>
    <w:rsid w:val="005D64E6"/>
    <w:rsid w:val="005E3B22"/>
    <w:rsid w:val="005E454B"/>
    <w:rsid w:val="005E5D67"/>
    <w:rsid w:val="005F597C"/>
    <w:rsid w:val="0060019A"/>
    <w:rsid w:val="00600778"/>
    <w:rsid w:val="00600C65"/>
    <w:rsid w:val="00603843"/>
    <w:rsid w:val="00603885"/>
    <w:rsid w:val="00607E6B"/>
    <w:rsid w:val="006107A4"/>
    <w:rsid w:val="006108C2"/>
    <w:rsid w:val="00616009"/>
    <w:rsid w:val="00616328"/>
    <w:rsid w:val="00622293"/>
    <w:rsid w:val="00626CAE"/>
    <w:rsid w:val="0063197F"/>
    <w:rsid w:val="00631D24"/>
    <w:rsid w:val="006326C4"/>
    <w:rsid w:val="00632940"/>
    <w:rsid w:val="00634206"/>
    <w:rsid w:val="0063515E"/>
    <w:rsid w:val="006364E8"/>
    <w:rsid w:val="00636C80"/>
    <w:rsid w:val="0064021C"/>
    <w:rsid w:val="00645AF9"/>
    <w:rsid w:val="006527C0"/>
    <w:rsid w:val="0065685A"/>
    <w:rsid w:val="00660626"/>
    <w:rsid w:val="006637FB"/>
    <w:rsid w:val="00666AE4"/>
    <w:rsid w:val="006745E5"/>
    <w:rsid w:val="00676E95"/>
    <w:rsid w:val="00677CC2"/>
    <w:rsid w:val="00680123"/>
    <w:rsid w:val="0068100C"/>
    <w:rsid w:val="00681BAD"/>
    <w:rsid w:val="0068619C"/>
    <w:rsid w:val="00687209"/>
    <w:rsid w:val="0069005D"/>
    <w:rsid w:val="00690C8B"/>
    <w:rsid w:val="00694975"/>
    <w:rsid w:val="00696059"/>
    <w:rsid w:val="006A0759"/>
    <w:rsid w:val="006A111C"/>
    <w:rsid w:val="006A481D"/>
    <w:rsid w:val="006A6851"/>
    <w:rsid w:val="006A776B"/>
    <w:rsid w:val="006B08E1"/>
    <w:rsid w:val="006B2E1F"/>
    <w:rsid w:val="006B7EB7"/>
    <w:rsid w:val="006C37B9"/>
    <w:rsid w:val="006C45C2"/>
    <w:rsid w:val="006C4CAE"/>
    <w:rsid w:val="006C4CD4"/>
    <w:rsid w:val="006D06B0"/>
    <w:rsid w:val="006D241D"/>
    <w:rsid w:val="006D258D"/>
    <w:rsid w:val="006D2F31"/>
    <w:rsid w:val="006D4C8C"/>
    <w:rsid w:val="006D736D"/>
    <w:rsid w:val="006E064D"/>
    <w:rsid w:val="006E087E"/>
    <w:rsid w:val="006E0F29"/>
    <w:rsid w:val="006E3FDD"/>
    <w:rsid w:val="006F155F"/>
    <w:rsid w:val="006F5B63"/>
    <w:rsid w:val="006F5BFD"/>
    <w:rsid w:val="00701960"/>
    <w:rsid w:val="00706316"/>
    <w:rsid w:val="00706F38"/>
    <w:rsid w:val="0070719C"/>
    <w:rsid w:val="0071030C"/>
    <w:rsid w:val="0071117D"/>
    <w:rsid w:val="00713C47"/>
    <w:rsid w:val="00721D73"/>
    <w:rsid w:val="00721EFB"/>
    <w:rsid w:val="00724293"/>
    <w:rsid w:val="0072521D"/>
    <w:rsid w:val="00725DC0"/>
    <w:rsid w:val="00726232"/>
    <w:rsid w:val="00727E2B"/>
    <w:rsid w:val="00731743"/>
    <w:rsid w:val="00736D06"/>
    <w:rsid w:val="00741B58"/>
    <w:rsid w:val="00741E05"/>
    <w:rsid w:val="007425ED"/>
    <w:rsid w:val="00743DEE"/>
    <w:rsid w:val="00745471"/>
    <w:rsid w:val="00745867"/>
    <w:rsid w:val="00745B4A"/>
    <w:rsid w:val="00753CEA"/>
    <w:rsid w:val="00753DFB"/>
    <w:rsid w:val="007579B4"/>
    <w:rsid w:val="00760D5D"/>
    <w:rsid w:val="007648AD"/>
    <w:rsid w:val="00764B36"/>
    <w:rsid w:val="00765B27"/>
    <w:rsid w:val="00766397"/>
    <w:rsid w:val="00767611"/>
    <w:rsid w:val="00772099"/>
    <w:rsid w:val="00774543"/>
    <w:rsid w:val="00774F12"/>
    <w:rsid w:val="00775AF6"/>
    <w:rsid w:val="0079023C"/>
    <w:rsid w:val="00790DB0"/>
    <w:rsid w:val="007917B9"/>
    <w:rsid w:val="00792D1C"/>
    <w:rsid w:val="00797B64"/>
    <w:rsid w:val="007A0FBC"/>
    <w:rsid w:val="007A4152"/>
    <w:rsid w:val="007B4CF6"/>
    <w:rsid w:val="007B719C"/>
    <w:rsid w:val="007C152E"/>
    <w:rsid w:val="007C6F14"/>
    <w:rsid w:val="007C753C"/>
    <w:rsid w:val="007D1BDB"/>
    <w:rsid w:val="007D2C34"/>
    <w:rsid w:val="007D358C"/>
    <w:rsid w:val="007E32E4"/>
    <w:rsid w:val="007E7107"/>
    <w:rsid w:val="007F1FE6"/>
    <w:rsid w:val="007F509E"/>
    <w:rsid w:val="007F5AAC"/>
    <w:rsid w:val="007F7079"/>
    <w:rsid w:val="008025B1"/>
    <w:rsid w:val="0080534D"/>
    <w:rsid w:val="00807252"/>
    <w:rsid w:val="0081049A"/>
    <w:rsid w:val="008123AE"/>
    <w:rsid w:val="00812712"/>
    <w:rsid w:val="00815DD0"/>
    <w:rsid w:val="00816E4E"/>
    <w:rsid w:val="0082241D"/>
    <w:rsid w:val="008228AF"/>
    <w:rsid w:val="00825137"/>
    <w:rsid w:val="00831C60"/>
    <w:rsid w:val="00832A68"/>
    <w:rsid w:val="00832B52"/>
    <w:rsid w:val="00833D2C"/>
    <w:rsid w:val="00834C85"/>
    <w:rsid w:val="008355F3"/>
    <w:rsid w:val="008411FE"/>
    <w:rsid w:val="008522D0"/>
    <w:rsid w:val="00857424"/>
    <w:rsid w:val="0086512D"/>
    <w:rsid w:val="00870910"/>
    <w:rsid w:val="008744DF"/>
    <w:rsid w:val="00877391"/>
    <w:rsid w:val="00880703"/>
    <w:rsid w:val="008853E3"/>
    <w:rsid w:val="00885D0C"/>
    <w:rsid w:val="00887AF6"/>
    <w:rsid w:val="00890C53"/>
    <w:rsid w:val="00891283"/>
    <w:rsid w:val="00891329"/>
    <w:rsid w:val="00891702"/>
    <w:rsid w:val="00894AF2"/>
    <w:rsid w:val="00896549"/>
    <w:rsid w:val="00897796"/>
    <w:rsid w:val="008A04EA"/>
    <w:rsid w:val="008A0C1E"/>
    <w:rsid w:val="008A2632"/>
    <w:rsid w:val="008A59A6"/>
    <w:rsid w:val="008A6636"/>
    <w:rsid w:val="008B0F5B"/>
    <w:rsid w:val="008B11AE"/>
    <w:rsid w:val="008B3045"/>
    <w:rsid w:val="008C1563"/>
    <w:rsid w:val="008C3B15"/>
    <w:rsid w:val="008C7A23"/>
    <w:rsid w:val="008D016F"/>
    <w:rsid w:val="008D126A"/>
    <w:rsid w:val="008D2CCC"/>
    <w:rsid w:val="008D54C4"/>
    <w:rsid w:val="008E0867"/>
    <w:rsid w:val="008E4DD3"/>
    <w:rsid w:val="008F35AD"/>
    <w:rsid w:val="008F45B5"/>
    <w:rsid w:val="00900541"/>
    <w:rsid w:val="0090153C"/>
    <w:rsid w:val="00904B17"/>
    <w:rsid w:val="00910EB0"/>
    <w:rsid w:val="00911F6D"/>
    <w:rsid w:val="00916627"/>
    <w:rsid w:val="00916EAC"/>
    <w:rsid w:val="00920803"/>
    <w:rsid w:val="009229C4"/>
    <w:rsid w:val="00926B1E"/>
    <w:rsid w:val="00926CB2"/>
    <w:rsid w:val="00931420"/>
    <w:rsid w:val="009343FE"/>
    <w:rsid w:val="00935214"/>
    <w:rsid w:val="00935330"/>
    <w:rsid w:val="0093601D"/>
    <w:rsid w:val="0094014C"/>
    <w:rsid w:val="00940488"/>
    <w:rsid w:val="009412BA"/>
    <w:rsid w:val="00941BEF"/>
    <w:rsid w:val="009427F6"/>
    <w:rsid w:val="00945305"/>
    <w:rsid w:val="00946B5E"/>
    <w:rsid w:val="00947606"/>
    <w:rsid w:val="00950634"/>
    <w:rsid w:val="00951049"/>
    <w:rsid w:val="00955DE7"/>
    <w:rsid w:val="00956D64"/>
    <w:rsid w:val="009615B2"/>
    <w:rsid w:val="00964221"/>
    <w:rsid w:val="00964383"/>
    <w:rsid w:val="00975F07"/>
    <w:rsid w:val="00982727"/>
    <w:rsid w:val="00983DD4"/>
    <w:rsid w:val="00985041"/>
    <w:rsid w:val="00986623"/>
    <w:rsid w:val="009875FB"/>
    <w:rsid w:val="009924D8"/>
    <w:rsid w:val="009931BC"/>
    <w:rsid w:val="0099580A"/>
    <w:rsid w:val="00995F49"/>
    <w:rsid w:val="009967A6"/>
    <w:rsid w:val="009A0665"/>
    <w:rsid w:val="009A12BC"/>
    <w:rsid w:val="009A1CEE"/>
    <w:rsid w:val="009A20C2"/>
    <w:rsid w:val="009A28D6"/>
    <w:rsid w:val="009B0997"/>
    <w:rsid w:val="009B11E3"/>
    <w:rsid w:val="009B2E2C"/>
    <w:rsid w:val="009B4B49"/>
    <w:rsid w:val="009B6FA4"/>
    <w:rsid w:val="009B72D2"/>
    <w:rsid w:val="009B7AF4"/>
    <w:rsid w:val="009C03C6"/>
    <w:rsid w:val="009C4BEA"/>
    <w:rsid w:val="009C712F"/>
    <w:rsid w:val="009D58EA"/>
    <w:rsid w:val="009D7FBF"/>
    <w:rsid w:val="009E0D99"/>
    <w:rsid w:val="009E0EE5"/>
    <w:rsid w:val="009E5DA5"/>
    <w:rsid w:val="009E7CBC"/>
    <w:rsid w:val="009F10A4"/>
    <w:rsid w:val="009F1F04"/>
    <w:rsid w:val="009F3721"/>
    <w:rsid w:val="009F52E7"/>
    <w:rsid w:val="009F61B2"/>
    <w:rsid w:val="009F64E5"/>
    <w:rsid w:val="009F7C21"/>
    <w:rsid w:val="00A02B8B"/>
    <w:rsid w:val="00A03FC6"/>
    <w:rsid w:val="00A10801"/>
    <w:rsid w:val="00A113BE"/>
    <w:rsid w:val="00A1299C"/>
    <w:rsid w:val="00A1305B"/>
    <w:rsid w:val="00A14B58"/>
    <w:rsid w:val="00A156F2"/>
    <w:rsid w:val="00A15FCF"/>
    <w:rsid w:val="00A1678A"/>
    <w:rsid w:val="00A249D8"/>
    <w:rsid w:val="00A25B20"/>
    <w:rsid w:val="00A308DB"/>
    <w:rsid w:val="00A3332B"/>
    <w:rsid w:val="00A334C8"/>
    <w:rsid w:val="00A3658E"/>
    <w:rsid w:val="00A44DB1"/>
    <w:rsid w:val="00A47681"/>
    <w:rsid w:val="00A50FED"/>
    <w:rsid w:val="00A523F1"/>
    <w:rsid w:val="00A52D8C"/>
    <w:rsid w:val="00A52F91"/>
    <w:rsid w:val="00A55B11"/>
    <w:rsid w:val="00A55DB4"/>
    <w:rsid w:val="00A614E2"/>
    <w:rsid w:val="00A62CCA"/>
    <w:rsid w:val="00A62D19"/>
    <w:rsid w:val="00A63CB6"/>
    <w:rsid w:val="00A644FA"/>
    <w:rsid w:val="00A65875"/>
    <w:rsid w:val="00A67BB1"/>
    <w:rsid w:val="00A71107"/>
    <w:rsid w:val="00A717CE"/>
    <w:rsid w:val="00A742A9"/>
    <w:rsid w:val="00A7443D"/>
    <w:rsid w:val="00A7513D"/>
    <w:rsid w:val="00A819ED"/>
    <w:rsid w:val="00A82FDB"/>
    <w:rsid w:val="00A849E6"/>
    <w:rsid w:val="00A87CB0"/>
    <w:rsid w:val="00A906D2"/>
    <w:rsid w:val="00A938E0"/>
    <w:rsid w:val="00AA15DA"/>
    <w:rsid w:val="00AA3077"/>
    <w:rsid w:val="00AA5ABC"/>
    <w:rsid w:val="00AB2C59"/>
    <w:rsid w:val="00AB3C54"/>
    <w:rsid w:val="00AB447A"/>
    <w:rsid w:val="00AB6B6C"/>
    <w:rsid w:val="00AB6B7B"/>
    <w:rsid w:val="00AB7378"/>
    <w:rsid w:val="00AC0551"/>
    <w:rsid w:val="00AC1343"/>
    <w:rsid w:val="00AC3DDA"/>
    <w:rsid w:val="00AC4CDC"/>
    <w:rsid w:val="00AC75B9"/>
    <w:rsid w:val="00AD1DF3"/>
    <w:rsid w:val="00AD2B0F"/>
    <w:rsid w:val="00AD6468"/>
    <w:rsid w:val="00AD7174"/>
    <w:rsid w:val="00AE25F3"/>
    <w:rsid w:val="00AE29B8"/>
    <w:rsid w:val="00AE32DE"/>
    <w:rsid w:val="00AE40CD"/>
    <w:rsid w:val="00AE64C7"/>
    <w:rsid w:val="00AE7F72"/>
    <w:rsid w:val="00AF2385"/>
    <w:rsid w:val="00AF4D43"/>
    <w:rsid w:val="00AF717F"/>
    <w:rsid w:val="00B0259A"/>
    <w:rsid w:val="00B0393C"/>
    <w:rsid w:val="00B10B7A"/>
    <w:rsid w:val="00B13ACF"/>
    <w:rsid w:val="00B165B1"/>
    <w:rsid w:val="00B1666D"/>
    <w:rsid w:val="00B17706"/>
    <w:rsid w:val="00B225C8"/>
    <w:rsid w:val="00B22C7E"/>
    <w:rsid w:val="00B23FC6"/>
    <w:rsid w:val="00B24955"/>
    <w:rsid w:val="00B2586E"/>
    <w:rsid w:val="00B31B1E"/>
    <w:rsid w:val="00B36DF6"/>
    <w:rsid w:val="00B418FC"/>
    <w:rsid w:val="00B42C09"/>
    <w:rsid w:val="00B476FD"/>
    <w:rsid w:val="00B50860"/>
    <w:rsid w:val="00B51AA0"/>
    <w:rsid w:val="00B52CC0"/>
    <w:rsid w:val="00B52DC2"/>
    <w:rsid w:val="00B53480"/>
    <w:rsid w:val="00B53BCA"/>
    <w:rsid w:val="00B623D2"/>
    <w:rsid w:val="00B62652"/>
    <w:rsid w:val="00B6603E"/>
    <w:rsid w:val="00B673B6"/>
    <w:rsid w:val="00B71A4C"/>
    <w:rsid w:val="00B74CA4"/>
    <w:rsid w:val="00B75074"/>
    <w:rsid w:val="00B766F3"/>
    <w:rsid w:val="00B7728E"/>
    <w:rsid w:val="00B93A66"/>
    <w:rsid w:val="00B966E6"/>
    <w:rsid w:val="00B979C0"/>
    <w:rsid w:val="00BA07E3"/>
    <w:rsid w:val="00BA13B1"/>
    <w:rsid w:val="00BA15FC"/>
    <w:rsid w:val="00BA1995"/>
    <w:rsid w:val="00BA41CF"/>
    <w:rsid w:val="00BA55FB"/>
    <w:rsid w:val="00BB32C4"/>
    <w:rsid w:val="00BB48B4"/>
    <w:rsid w:val="00BB7517"/>
    <w:rsid w:val="00BC15C0"/>
    <w:rsid w:val="00BC225A"/>
    <w:rsid w:val="00BC4DB5"/>
    <w:rsid w:val="00BC67B5"/>
    <w:rsid w:val="00BD0848"/>
    <w:rsid w:val="00BD664E"/>
    <w:rsid w:val="00BF03CC"/>
    <w:rsid w:val="00BF72E1"/>
    <w:rsid w:val="00C011C6"/>
    <w:rsid w:val="00C022BE"/>
    <w:rsid w:val="00C050B9"/>
    <w:rsid w:val="00C05107"/>
    <w:rsid w:val="00C0692D"/>
    <w:rsid w:val="00C077D3"/>
    <w:rsid w:val="00C10FEB"/>
    <w:rsid w:val="00C12012"/>
    <w:rsid w:val="00C12523"/>
    <w:rsid w:val="00C216BA"/>
    <w:rsid w:val="00C2660E"/>
    <w:rsid w:val="00C33702"/>
    <w:rsid w:val="00C41EB5"/>
    <w:rsid w:val="00C42D7C"/>
    <w:rsid w:val="00C47AC4"/>
    <w:rsid w:val="00C515BA"/>
    <w:rsid w:val="00C545B7"/>
    <w:rsid w:val="00C55AE0"/>
    <w:rsid w:val="00C55F83"/>
    <w:rsid w:val="00C62BA6"/>
    <w:rsid w:val="00C630C5"/>
    <w:rsid w:val="00C64F4C"/>
    <w:rsid w:val="00C668EB"/>
    <w:rsid w:val="00C66BB5"/>
    <w:rsid w:val="00C679E0"/>
    <w:rsid w:val="00C702EB"/>
    <w:rsid w:val="00C70DE2"/>
    <w:rsid w:val="00C713B5"/>
    <w:rsid w:val="00C75FBC"/>
    <w:rsid w:val="00C764D6"/>
    <w:rsid w:val="00C778F5"/>
    <w:rsid w:val="00C81213"/>
    <w:rsid w:val="00C82687"/>
    <w:rsid w:val="00C85DA4"/>
    <w:rsid w:val="00C860E5"/>
    <w:rsid w:val="00C874AD"/>
    <w:rsid w:val="00C90920"/>
    <w:rsid w:val="00C91756"/>
    <w:rsid w:val="00C93BC0"/>
    <w:rsid w:val="00C9702B"/>
    <w:rsid w:val="00CA0EA8"/>
    <w:rsid w:val="00CA3C07"/>
    <w:rsid w:val="00CA417D"/>
    <w:rsid w:val="00CA4CCA"/>
    <w:rsid w:val="00CA5B4F"/>
    <w:rsid w:val="00CB037B"/>
    <w:rsid w:val="00CB147D"/>
    <w:rsid w:val="00CB2577"/>
    <w:rsid w:val="00CB61D6"/>
    <w:rsid w:val="00CC0913"/>
    <w:rsid w:val="00CC4379"/>
    <w:rsid w:val="00CC565A"/>
    <w:rsid w:val="00CC7A17"/>
    <w:rsid w:val="00CD05D2"/>
    <w:rsid w:val="00CD1586"/>
    <w:rsid w:val="00CD1BC2"/>
    <w:rsid w:val="00CD768F"/>
    <w:rsid w:val="00CE1266"/>
    <w:rsid w:val="00CE48DC"/>
    <w:rsid w:val="00CE562A"/>
    <w:rsid w:val="00CE5EB4"/>
    <w:rsid w:val="00CE744B"/>
    <w:rsid w:val="00CF5DEB"/>
    <w:rsid w:val="00CF5E1F"/>
    <w:rsid w:val="00CF6D03"/>
    <w:rsid w:val="00D00830"/>
    <w:rsid w:val="00D00CF4"/>
    <w:rsid w:val="00D03471"/>
    <w:rsid w:val="00D0373B"/>
    <w:rsid w:val="00D07F0E"/>
    <w:rsid w:val="00D17E06"/>
    <w:rsid w:val="00D20F3C"/>
    <w:rsid w:val="00D234DB"/>
    <w:rsid w:val="00D23C67"/>
    <w:rsid w:val="00D25541"/>
    <w:rsid w:val="00D2767D"/>
    <w:rsid w:val="00D341B3"/>
    <w:rsid w:val="00D34478"/>
    <w:rsid w:val="00D37C86"/>
    <w:rsid w:val="00D42048"/>
    <w:rsid w:val="00D42553"/>
    <w:rsid w:val="00D452CA"/>
    <w:rsid w:val="00D465E8"/>
    <w:rsid w:val="00D50615"/>
    <w:rsid w:val="00D51B63"/>
    <w:rsid w:val="00D522C8"/>
    <w:rsid w:val="00D61EDC"/>
    <w:rsid w:val="00D70355"/>
    <w:rsid w:val="00D706E6"/>
    <w:rsid w:val="00D7497E"/>
    <w:rsid w:val="00D80A3C"/>
    <w:rsid w:val="00D80DF5"/>
    <w:rsid w:val="00D82456"/>
    <w:rsid w:val="00D82AAC"/>
    <w:rsid w:val="00D8759A"/>
    <w:rsid w:val="00D922CF"/>
    <w:rsid w:val="00D92313"/>
    <w:rsid w:val="00D93985"/>
    <w:rsid w:val="00D9483A"/>
    <w:rsid w:val="00D94ADE"/>
    <w:rsid w:val="00D95B65"/>
    <w:rsid w:val="00DA2904"/>
    <w:rsid w:val="00DA2F08"/>
    <w:rsid w:val="00DB1823"/>
    <w:rsid w:val="00DB1BD8"/>
    <w:rsid w:val="00DB1E4F"/>
    <w:rsid w:val="00DB427F"/>
    <w:rsid w:val="00DC0369"/>
    <w:rsid w:val="00DC1FDC"/>
    <w:rsid w:val="00DC2B8D"/>
    <w:rsid w:val="00DC5405"/>
    <w:rsid w:val="00DC65BE"/>
    <w:rsid w:val="00DC6A1B"/>
    <w:rsid w:val="00DD04D5"/>
    <w:rsid w:val="00DD4340"/>
    <w:rsid w:val="00DE0157"/>
    <w:rsid w:val="00DE0646"/>
    <w:rsid w:val="00DE2013"/>
    <w:rsid w:val="00DE3B49"/>
    <w:rsid w:val="00DE5F37"/>
    <w:rsid w:val="00DE6DE2"/>
    <w:rsid w:val="00DE7C9A"/>
    <w:rsid w:val="00DF12C0"/>
    <w:rsid w:val="00DF1531"/>
    <w:rsid w:val="00DF48A6"/>
    <w:rsid w:val="00DF49AA"/>
    <w:rsid w:val="00DF4EE0"/>
    <w:rsid w:val="00DF6687"/>
    <w:rsid w:val="00DF7944"/>
    <w:rsid w:val="00E10BE6"/>
    <w:rsid w:val="00E14ABE"/>
    <w:rsid w:val="00E16D3D"/>
    <w:rsid w:val="00E176CF"/>
    <w:rsid w:val="00E17B14"/>
    <w:rsid w:val="00E17DC1"/>
    <w:rsid w:val="00E2040B"/>
    <w:rsid w:val="00E208D7"/>
    <w:rsid w:val="00E237DC"/>
    <w:rsid w:val="00E25BC0"/>
    <w:rsid w:val="00E270D5"/>
    <w:rsid w:val="00E318E7"/>
    <w:rsid w:val="00E32742"/>
    <w:rsid w:val="00E3745C"/>
    <w:rsid w:val="00E37D92"/>
    <w:rsid w:val="00E539B4"/>
    <w:rsid w:val="00E5527B"/>
    <w:rsid w:val="00E55476"/>
    <w:rsid w:val="00E55AE1"/>
    <w:rsid w:val="00E61779"/>
    <w:rsid w:val="00E768D9"/>
    <w:rsid w:val="00E80D22"/>
    <w:rsid w:val="00E8690C"/>
    <w:rsid w:val="00E872FC"/>
    <w:rsid w:val="00E87324"/>
    <w:rsid w:val="00E92B01"/>
    <w:rsid w:val="00E93953"/>
    <w:rsid w:val="00E97886"/>
    <w:rsid w:val="00EA55E5"/>
    <w:rsid w:val="00EC1B9D"/>
    <w:rsid w:val="00EC1D41"/>
    <w:rsid w:val="00EC2644"/>
    <w:rsid w:val="00EC3633"/>
    <w:rsid w:val="00EC4A63"/>
    <w:rsid w:val="00EC6275"/>
    <w:rsid w:val="00EC79A7"/>
    <w:rsid w:val="00ED459D"/>
    <w:rsid w:val="00ED5656"/>
    <w:rsid w:val="00ED6313"/>
    <w:rsid w:val="00ED74EC"/>
    <w:rsid w:val="00EE2336"/>
    <w:rsid w:val="00EE5D62"/>
    <w:rsid w:val="00EE5FCD"/>
    <w:rsid w:val="00EE6687"/>
    <w:rsid w:val="00EE6C3E"/>
    <w:rsid w:val="00EF080E"/>
    <w:rsid w:val="00EF6EE9"/>
    <w:rsid w:val="00F0030D"/>
    <w:rsid w:val="00F03225"/>
    <w:rsid w:val="00F06329"/>
    <w:rsid w:val="00F070BA"/>
    <w:rsid w:val="00F11F8C"/>
    <w:rsid w:val="00F12969"/>
    <w:rsid w:val="00F12F88"/>
    <w:rsid w:val="00F14B8D"/>
    <w:rsid w:val="00F150D8"/>
    <w:rsid w:val="00F1629C"/>
    <w:rsid w:val="00F1695F"/>
    <w:rsid w:val="00F1706F"/>
    <w:rsid w:val="00F218C6"/>
    <w:rsid w:val="00F26052"/>
    <w:rsid w:val="00F266F3"/>
    <w:rsid w:val="00F2737F"/>
    <w:rsid w:val="00F27C1A"/>
    <w:rsid w:val="00F30794"/>
    <w:rsid w:val="00F31EFE"/>
    <w:rsid w:val="00F36270"/>
    <w:rsid w:val="00F5280E"/>
    <w:rsid w:val="00F52DF3"/>
    <w:rsid w:val="00F52E7E"/>
    <w:rsid w:val="00F534A3"/>
    <w:rsid w:val="00F56158"/>
    <w:rsid w:val="00F56993"/>
    <w:rsid w:val="00F576FE"/>
    <w:rsid w:val="00F64AA9"/>
    <w:rsid w:val="00F64FAB"/>
    <w:rsid w:val="00F668A4"/>
    <w:rsid w:val="00F671A3"/>
    <w:rsid w:val="00F73837"/>
    <w:rsid w:val="00F759A7"/>
    <w:rsid w:val="00F80FF0"/>
    <w:rsid w:val="00F810AC"/>
    <w:rsid w:val="00F81CE8"/>
    <w:rsid w:val="00F9267F"/>
    <w:rsid w:val="00F92BAF"/>
    <w:rsid w:val="00F92E66"/>
    <w:rsid w:val="00F933C3"/>
    <w:rsid w:val="00F95FBA"/>
    <w:rsid w:val="00F966AA"/>
    <w:rsid w:val="00F96D20"/>
    <w:rsid w:val="00FA2C64"/>
    <w:rsid w:val="00FA4AA7"/>
    <w:rsid w:val="00FA6440"/>
    <w:rsid w:val="00FA73E9"/>
    <w:rsid w:val="00FB165A"/>
    <w:rsid w:val="00FB2EE8"/>
    <w:rsid w:val="00FB4F2E"/>
    <w:rsid w:val="00FC0840"/>
    <w:rsid w:val="00FC259A"/>
    <w:rsid w:val="00FC4389"/>
    <w:rsid w:val="00FC5A22"/>
    <w:rsid w:val="00FD050F"/>
    <w:rsid w:val="00FD1E55"/>
    <w:rsid w:val="00FD2F6E"/>
    <w:rsid w:val="00FD493B"/>
    <w:rsid w:val="00FD6CD2"/>
    <w:rsid w:val="00FD7A99"/>
    <w:rsid w:val="00FE142A"/>
    <w:rsid w:val="00FE1E29"/>
    <w:rsid w:val="00FE65A5"/>
    <w:rsid w:val="00FE6E0B"/>
    <w:rsid w:val="00FF3F26"/>
    <w:rsid w:val="00FF4F46"/>
    <w:rsid w:val="00FF5EE3"/>
    <w:rsid w:val="00FF6F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C65A"/>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3D0BC4"/>
    <w:rPr>
      <w:color w:val="0000FF" w:themeColor="hyperlink"/>
      <w:u w:val="single"/>
    </w:rPr>
  </w:style>
  <w:style w:type="character" w:customStyle="1" w:styleId="1">
    <w:name w:val="Незакрита згадка1"/>
    <w:basedOn w:val="a0"/>
    <w:uiPriority w:val="99"/>
    <w:semiHidden/>
    <w:unhideWhenUsed/>
    <w:rsid w:val="003D0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8109">
      <w:bodyDiv w:val="1"/>
      <w:marLeft w:val="0"/>
      <w:marRight w:val="0"/>
      <w:marTop w:val="0"/>
      <w:marBottom w:val="0"/>
      <w:divBdr>
        <w:top w:val="none" w:sz="0" w:space="0" w:color="auto"/>
        <w:left w:val="none" w:sz="0" w:space="0" w:color="auto"/>
        <w:bottom w:val="none" w:sz="0" w:space="0" w:color="auto"/>
        <w:right w:val="none" w:sz="0" w:space="0" w:color="auto"/>
      </w:divBdr>
    </w:div>
    <w:div w:id="953055346">
      <w:bodyDiv w:val="1"/>
      <w:marLeft w:val="0"/>
      <w:marRight w:val="0"/>
      <w:marTop w:val="0"/>
      <w:marBottom w:val="0"/>
      <w:divBdr>
        <w:top w:val="none" w:sz="0" w:space="0" w:color="auto"/>
        <w:left w:val="none" w:sz="0" w:space="0" w:color="auto"/>
        <w:bottom w:val="none" w:sz="0" w:space="0" w:color="auto"/>
        <w:right w:val="none" w:sz="0" w:space="0" w:color="auto"/>
      </w:divBdr>
    </w:div>
    <w:div w:id="1066685507">
      <w:bodyDiv w:val="1"/>
      <w:marLeft w:val="0"/>
      <w:marRight w:val="0"/>
      <w:marTop w:val="0"/>
      <w:marBottom w:val="0"/>
      <w:divBdr>
        <w:top w:val="none" w:sz="0" w:space="0" w:color="auto"/>
        <w:left w:val="none" w:sz="0" w:space="0" w:color="auto"/>
        <w:bottom w:val="none" w:sz="0" w:space="0" w:color="auto"/>
        <w:right w:val="none" w:sz="0" w:space="0" w:color="auto"/>
      </w:divBdr>
    </w:div>
    <w:div w:id="20918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0"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1401-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D813-0B15-4FA1-9827-2DCCE7F1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32843</Words>
  <Characters>18722</Characters>
  <Application>Microsoft Office Word</Application>
  <DocSecurity>0</DocSecurity>
  <Lines>156</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Видяпіна Тетяна Миколаївна</cp:lastModifiedBy>
  <cp:revision>3</cp:revision>
  <cp:lastPrinted>2024-12-13T10:04:00Z</cp:lastPrinted>
  <dcterms:created xsi:type="dcterms:W3CDTF">2024-12-16T13:20:00Z</dcterms:created>
  <dcterms:modified xsi:type="dcterms:W3CDTF">2024-12-17T08:11:00Z</dcterms:modified>
</cp:coreProperties>
</file>