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57" w:rsidRDefault="008C2A57" w:rsidP="008C2A57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C2A57" w:rsidRDefault="008C2A57" w:rsidP="008C2A57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  <w:lang w:val="uk-UA" w:eastAsia="uk-UA"/>
        </w:rPr>
      </w:pPr>
      <w:r w:rsidRPr="00725C62">
        <w:rPr>
          <w:rFonts w:ascii="Times New Roman" w:hAnsi="Times New Roman" w:cs="Times New Roman"/>
          <w:lang w:val="uk-UA"/>
        </w:rPr>
        <w:t>Обґрунтування технічних та кількісних характеристик предмета закупівлі</w:t>
      </w:r>
      <w:r w:rsidRPr="00725C62">
        <w:rPr>
          <w:rFonts w:ascii="Times New Roman" w:eastAsia="Calibri" w:hAnsi="Times New Roman" w:cs="Times New Roman"/>
          <w:lang w:val="uk-UA" w:eastAsia="uk-UA"/>
        </w:rPr>
        <w:t>,</w:t>
      </w:r>
    </w:p>
    <w:p w:rsidR="008C2A57" w:rsidRPr="00AE3E33" w:rsidRDefault="008C2A57" w:rsidP="008C2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AE3E33">
        <w:rPr>
          <w:rFonts w:ascii="Times New Roman" w:eastAsia="Calibri" w:hAnsi="Times New Roman" w:cs="Times New Roman"/>
          <w:sz w:val="21"/>
          <w:szCs w:val="21"/>
          <w:lang w:val="uk-UA" w:eastAsia="uk-UA"/>
        </w:rPr>
        <w:t>передбачен</w:t>
      </w:r>
      <w:r>
        <w:rPr>
          <w:rFonts w:ascii="Times New Roman" w:eastAsia="Calibri" w:hAnsi="Times New Roman" w:cs="Times New Roman"/>
          <w:sz w:val="21"/>
          <w:szCs w:val="21"/>
          <w:lang w:val="uk-UA" w:eastAsia="uk-UA"/>
        </w:rPr>
        <w:t>е</w:t>
      </w:r>
      <w:r w:rsidRPr="00AE3E33">
        <w:rPr>
          <w:rFonts w:ascii="Times New Roman" w:eastAsia="Calibri" w:hAnsi="Times New Roman" w:cs="Times New Roman"/>
          <w:sz w:val="21"/>
          <w:szCs w:val="21"/>
          <w:lang w:val="uk-UA" w:eastAsia="uk-UA"/>
        </w:rPr>
        <w:t xml:space="preserve"> вимогами постанови КМУ </w:t>
      </w:r>
      <w:r w:rsidRPr="00AE3E33">
        <w:rPr>
          <w:rFonts w:ascii="Times New Roman" w:eastAsia="Times New Roman" w:hAnsi="Times New Roman" w:cs="Times New Roman"/>
          <w:bCs/>
          <w:sz w:val="21"/>
          <w:szCs w:val="21"/>
          <w:lang w:val="uk-UA" w:eastAsia="uk-UA"/>
        </w:rPr>
        <w:t>від 11 жовтня 2016 р. № 710</w:t>
      </w:r>
      <w:r w:rsidRPr="00AE3E33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r w:rsidRPr="00AE3E33">
        <w:rPr>
          <w:rFonts w:ascii="Times New Roman" w:eastAsia="Times New Roman" w:hAnsi="Times New Roman" w:cs="Times New Roman"/>
          <w:bCs/>
          <w:sz w:val="21"/>
          <w:szCs w:val="21"/>
          <w:lang w:val="uk-UA"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Назва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</w:tcPr>
          <w:p w:rsidR="008C2A57" w:rsidRPr="00AE3E33" w:rsidRDefault="008C2A57" w:rsidP="00DA4F1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ahoma" w:hAnsi="Times New Roman"/>
                <w:color w:val="000000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Послуги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з 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поточного ремонту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системи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адміністративній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будівлі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Вищої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кваліфікаційної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комісії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суддів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України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за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адресою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: м.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Київ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вул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. Генерала Шаповала, 9</w:t>
            </w:r>
            <w:r w:rsidRPr="00AE3E33">
              <w:rPr>
                <w:rFonts w:ascii="Times New Roman" w:hAnsi="Times New Roman"/>
                <w:sz w:val="21"/>
                <w:szCs w:val="21"/>
              </w:rPr>
              <w:t>,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ДК 021:2015 50720000-</w:t>
            </w:r>
            <w:proofErr w:type="gram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8</w:t>
            </w:r>
            <w:r w:rsidRPr="00AE3E33">
              <w:rPr>
                <w:rFonts w:ascii="Times New Roman" w:hAnsi="Times New Roman"/>
                <w:sz w:val="21"/>
                <w:szCs w:val="21"/>
              </w:rPr>
              <w:t xml:space="preserve">  -</w:t>
            </w:r>
            <w:proofErr w:type="gram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</w:t>
            </w:r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ослуги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з ремонту і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технічного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обслуговування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 xml:space="preserve"> систем центрального </w:t>
            </w:r>
            <w:proofErr w:type="spellStart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eastAsia="Tahoma" w:hAnsi="Times New Roman"/>
                <w:color w:val="000000"/>
                <w:sz w:val="21"/>
                <w:szCs w:val="21"/>
              </w:rPr>
              <w:t>»</w:t>
            </w:r>
          </w:p>
        </w:tc>
      </w:tr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Номер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оголошення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процедури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електронній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системі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закупівель</w:t>
            </w:r>
            <w:proofErr w:type="spellEnd"/>
          </w:p>
        </w:tc>
        <w:tc>
          <w:tcPr>
            <w:tcW w:w="5925" w:type="dxa"/>
          </w:tcPr>
          <w:p w:rsidR="00116524" w:rsidRDefault="00116524" w:rsidP="00116524">
            <w:pPr>
              <w:tabs>
                <w:tab w:val="left" w:pos="171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  <w:p w:rsidR="008C2A57" w:rsidRPr="00116524" w:rsidRDefault="00116524" w:rsidP="00116524">
            <w:pPr>
              <w:tabs>
                <w:tab w:val="left" w:pos="1710"/>
              </w:tabs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277D90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-2025-0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221051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595</w:t>
            </w:r>
            <w:r w:rsidRPr="009926F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77D9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C2A57" w:rsidRPr="00AE3E33" w:rsidTr="00DA4F17">
        <w:tc>
          <w:tcPr>
            <w:tcW w:w="3681" w:type="dxa"/>
          </w:tcPr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технічних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якісних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кількісних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характеристик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</w:tcPr>
          <w:p w:rsidR="008C2A57" w:rsidRPr="00AE3E33" w:rsidRDefault="008C2A57" w:rsidP="00DA4F17">
            <w:pPr>
              <w:jc w:val="both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Технічні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якісні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кількісні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характеристики предмета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визначені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відповідно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до потреб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Комісії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визначені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умовами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тендерної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документації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Для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забезпечення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необхідної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температури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тепла,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комфортної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роботи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працівників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належної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експлуатації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необхідно</w:t>
            </w:r>
            <w:proofErr w:type="spellEnd"/>
            <w:proofErr w:type="gram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виконати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комплекс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послуг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заміни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підлогових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фанкойлів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пультом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управління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фанкойлом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які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зламані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та не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підлягають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ремонту, в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робочих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кабінетах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адміністративної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будівлі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кількості</w:t>
            </w:r>
            <w:proofErr w:type="spellEnd"/>
            <w:r w:rsidRPr="00AE3E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7 шт.</w:t>
            </w:r>
          </w:p>
          <w:p w:rsidR="008C2A57" w:rsidRPr="00AE3E33" w:rsidRDefault="008C2A57" w:rsidP="00DA4F17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Поточний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ремонт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системи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опалення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передбачає</w:t>
            </w:r>
            <w:proofErr w:type="spellEnd"/>
            <w:r w:rsidRPr="00AE3E33"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  <w:t>:</w:t>
            </w: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87"/>
            </w:tblGrid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Демонтаж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фанкойлів</w:t>
                  </w:r>
                  <w:proofErr w:type="spellEnd"/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Установлення опалювальних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фанкойлів</w:t>
                  </w:r>
                  <w:proofErr w:type="spellEnd"/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Прокладання трубопроводів водопостачання з труб поліетиленових [поліпропіленових] напірних діаметром16 мм</w:t>
                  </w:r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Прокладання проводів при схованій проводці в</w:t>
                  </w:r>
                </w:p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порожнинах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перекриттів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 і перегородок</w:t>
                  </w:r>
                </w:p>
              </w:tc>
            </w:tr>
            <w:tr w:rsidR="008C2A57" w:rsidRPr="00AE3E33" w:rsidTr="00DA4F17">
              <w:trPr>
                <w:jc w:val="center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2A57" w:rsidRPr="00AE3E33" w:rsidRDefault="008C2A57" w:rsidP="00DA4F17">
                  <w:pPr>
                    <w:keepLines/>
                    <w:tabs>
                      <w:tab w:val="left" w:pos="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uk-UA"/>
                    </w:rPr>
                  </w:pPr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Регулювання та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відлагодження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 xml:space="preserve"> роботи </w:t>
                  </w:r>
                  <w:proofErr w:type="spellStart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фанкойла</w:t>
                  </w:r>
                  <w:proofErr w:type="spellEnd"/>
                  <w:r w:rsidRPr="00AE3E33"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  <w:lang w:val="uk-UA"/>
                    </w:rPr>
                    <w:t>.</w:t>
                  </w:r>
                </w:p>
              </w:tc>
            </w:tr>
          </w:tbl>
          <w:p w:rsidR="008C2A57" w:rsidRPr="00AE3E33" w:rsidRDefault="008C2A57" w:rsidP="00DA4F17">
            <w:pPr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Технічні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кількісні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та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якісні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характеристики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фанкойлу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Фанкойл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опалення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охолодження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) - 7 шт.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Площа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обігріву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приміщення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: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30м2,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Монтаж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пристінний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підлогу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Потужність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охолодження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2,5 кВт.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Потужність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обігріву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3,5 кВт.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Колір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Напруга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220В (50Гц) однофазна.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Виробництво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повітря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AE3E33">
              <w:rPr>
                <w:rFonts w:ascii="Times New Roman" w:hAnsi="Times New Roman"/>
                <w:sz w:val="21"/>
                <w:szCs w:val="21"/>
              </w:rPr>
              <w:t>–  не</w:t>
            </w:r>
            <w:proofErr w:type="gram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менше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442 м3/год.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Рівень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звукового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тиску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- не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більше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48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дБА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Розміри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Висота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495мм до 570мм.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Ширина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980мм до 1240мм.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Глибина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200мм до 240мм.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r w:rsidRPr="00AE3E33">
              <w:rPr>
                <w:rFonts w:ascii="Times New Roman" w:hAnsi="Times New Roman"/>
                <w:sz w:val="21"/>
                <w:szCs w:val="21"/>
              </w:rPr>
              <w:t xml:space="preserve">Тип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підключення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боковий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двотрубний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Гарантія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24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місяці</w:t>
            </w:r>
            <w:proofErr w:type="spellEnd"/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Пульт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управління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фанкойлом</w:t>
            </w:r>
            <w:proofErr w:type="spellEnd"/>
            <w:r w:rsidRPr="00AE3E33">
              <w:rPr>
                <w:rFonts w:ascii="Times New Roman" w:hAnsi="Times New Roman"/>
                <w:b/>
                <w:i/>
                <w:sz w:val="21"/>
                <w:szCs w:val="21"/>
              </w:rPr>
              <w:t>: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Провідний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колір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білий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температури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приміщенні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швидкості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обертання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вентилятора.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Діапазон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регулювання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температури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від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0 до +50 С</w:t>
            </w:r>
          </w:p>
          <w:p w:rsidR="008C2A57" w:rsidRPr="00AE3E33" w:rsidRDefault="008C2A57" w:rsidP="00DA4F17">
            <w:pPr>
              <w:pStyle w:val="a4"/>
              <w:ind w:left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Обов’язкове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самостійне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включення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після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зникнення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і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повернення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електроенергії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на </w:t>
            </w: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фанкойл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C2A57" w:rsidRPr="00AE3E33" w:rsidRDefault="008C2A57" w:rsidP="00DA4F17">
            <w:pPr>
              <w:pStyle w:val="a4"/>
              <w:ind w:hanging="72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E3E33">
              <w:rPr>
                <w:rFonts w:ascii="Times New Roman" w:hAnsi="Times New Roman"/>
                <w:sz w:val="21"/>
                <w:szCs w:val="21"/>
              </w:rPr>
              <w:t>Гарантія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 – 24 </w:t>
            </w:r>
            <w:proofErr w:type="spellStart"/>
            <w:proofErr w:type="gramStart"/>
            <w:r w:rsidRPr="00AE3E33">
              <w:rPr>
                <w:rFonts w:ascii="Times New Roman" w:hAnsi="Times New Roman"/>
                <w:sz w:val="21"/>
                <w:szCs w:val="21"/>
              </w:rPr>
              <w:t>місяці</w:t>
            </w:r>
            <w:proofErr w:type="spellEnd"/>
            <w:r w:rsidRPr="00AE3E33">
              <w:rPr>
                <w:rFonts w:ascii="Times New Roman" w:hAnsi="Times New Roman"/>
                <w:sz w:val="21"/>
                <w:szCs w:val="21"/>
              </w:rPr>
              <w:t xml:space="preserve">.  </w:t>
            </w:r>
            <w:proofErr w:type="gramEnd"/>
          </w:p>
        </w:tc>
      </w:tr>
      <w:tr w:rsidR="008C2A57" w:rsidRPr="008F7847" w:rsidTr="00DA4F17">
        <w:tc>
          <w:tcPr>
            <w:tcW w:w="3681" w:type="dxa"/>
          </w:tcPr>
          <w:p w:rsidR="008C2A57" w:rsidRPr="008F7847" w:rsidRDefault="008C2A57" w:rsidP="00DA4F17">
            <w:pPr>
              <w:rPr>
                <w:sz w:val="21"/>
                <w:szCs w:val="21"/>
              </w:rPr>
            </w:pP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розміру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бюджетного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призначення</w:t>
            </w:r>
            <w:proofErr w:type="spellEnd"/>
          </w:p>
        </w:tc>
        <w:tc>
          <w:tcPr>
            <w:tcW w:w="5925" w:type="dxa"/>
          </w:tcPr>
          <w:p w:rsidR="008C2A57" w:rsidRPr="00027822" w:rsidRDefault="008C2A57" w:rsidP="00DA4F17">
            <w:pPr>
              <w:rPr>
                <w:rFonts w:ascii="Times New Roman" w:hAnsi="Times New Roman"/>
                <w:spacing w:val="-3"/>
                <w:sz w:val="21"/>
                <w:szCs w:val="21"/>
              </w:rPr>
            </w:pP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Розмір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бюджетного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призначення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для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даного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виду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послуг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з поточного ремонту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системи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27822">
              <w:rPr>
                <w:rFonts w:ascii="Times New Roman" w:hAnsi="Times New Roman"/>
                <w:sz w:val="21"/>
                <w:szCs w:val="21"/>
              </w:rPr>
              <w:t>опалення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:   </w:t>
            </w:r>
            <w:proofErr w:type="gram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        </w:t>
            </w:r>
            <w:r w:rsidRPr="00027822">
              <w:rPr>
                <w:rFonts w:ascii="Times New Roman" w:hAnsi="Times New Roman"/>
                <w:spacing w:val="-3"/>
                <w:sz w:val="21"/>
                <w:szCs w:val="21"/>
              </w:rPr>
              <w:t>349 996,00 грн.</w:t>
            </w:r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8C2A57" w:rsidRPr="00AE3E33" w:rsidRDefault="008C2A57" w:rsidP="00DA4F17">
            <w:pP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Розмір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бюджетного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призначення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визначено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підставі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розрахунків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які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обґрунтовують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показники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видатків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бюджету,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включених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до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кошторису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на 2025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рік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8C2A57" w:rsidRPr="00F40E58" w:rsidTr="00DA4F17">
        <w:tc>
          <w:tcPr>
            <w:tcW w:w="3681" w:type="dxa"/>
          </w:tcPr>
          <w:p w:rsidR="008C2A57" w:rsidRPr="008F7847" w:rsidRDefault="008C2A57" w:rsidP="00DA4F1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F7847">
              <w:rPr>
                <w:rFonts w:ascii="Times New Roman" w:hAnsi="Times New Roman"/>
                <w:sz w:val="21"/>
                <w:szCs w:val="21"/>
              </w:rPr>
              <w:t>Обґрунтування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очікуваної</w:t>
            </w:r>
            <w:proofErr w:type="spellEnd"/>
            <w:proofErr w:type="gram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вартості</w:t>
            </w:r>
            <w:proofErr w:type="spellEnd"/>
            <w:r w:rsidRPr="008F7847">
              <w:rPr>
                <w:rFonts w:ascii="Times New Roman" w:hAnsi="Times New Roman"/>
                <w:sz w:val="21"/>
                <w:szCs w:val="21"/>
              </w:rPr>
              <w:t xml:space="preserve"> предмета </w:t>
            </w:r>
            <w:proofErr w:type="spellStart"/>
            <w:r w:rsidRPr="008F7847">
              <w:rPr>
                <w:rFonts w:ascii="Times New Roman" w:hAnsi="Times New Roman"/>
                <w:sz w:val="21"/>
                <w:szCs w:val="21"/>
              </w:rPr>
              <w:t>закупівлі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8C2A57" w:rsidRPr="00027822" w:rsidRDefault="008C2A57" w:rsidP="00DA4F17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Вартість</w:t>
            </w:r>
            <w:proofErr w:type="spell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послуг</w:t>
            </w:r>
            <w:proofErr w:type="spell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з поточного </w:t>
            </w:r>
            <w:proofErr w:type="gram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ремонту  </w:t>
            </w:r>
            <w:proofErr w:type="spellStart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обрахована</w:t>
            </w:r>
            <w:proofErr w:type="spellEnd"/>
            <w:proofErr w:type="gramEnd"/>
            <w:r w:rsidRPr="0002782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згідно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дефектного акту на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підставі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зведеного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кошторисного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розрахунку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з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використанням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програмного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комплексу АВК-5 –(3.10.2) і </w:t>
            </w:r>
            <w:proofErr w:type="spellStart"/>
            <w:r w:rsidRPr="00027822">
              <w:rPr>
                <w:rFonts w:ascii="Times New Roman" w:hAnsi="Times New Roman"/>
                <w:sz w:val="21"/>
                <w:szCs w:val="21"/>
              </w:rPr>
              <w:t>складає</w:t>
            </w:r>
            <w:proofErr w:type="spellEnd"/>
            <w:r w:rsidRPr="00027822">
              <w:rPr>
                <w:rFonts w:ascii="Times New Roman" w:hAnsi="Times New Roman"/>
                <w:sz w:val="21"/>
                <w:szCs w:val="21"/>
              </w:rPr>
              <w:t xml:space="preserve"> суму </w:t>
            </w:r>
            <w:r w:rsidRPr="00027822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269 601,00  грн.  </w:t>
            </w:r>
          </w:p>
        </w:tc>
      </w:tr>
    </w:tbl>
    <w:p w:rsidR="008C2A57" w:rsidRPr="00F40E58" w:rsidRDefault="008C2A57" w:rsidP="008C2A57"/>
    <w:p w:rsidR="000415CB" w:rsidRPr="008C2A57" w:rsidRDefault="00221051" w:rsidP="008C2A57"/>
    <w:sectPr w:rsidR="000415CB" w:rsidRPr="008C2A57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16524"/>
    <w:rsid w:val="00137E53"/>
    <w:rsid w:val="00164298"/>
    <w:rsid w:val="0017022E"/>
    <w:rsid w:val="001B0517"/>
    <w:rsid w:val="00221051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D2E29"/>
    <w:rsid w:val="0057412F"/>
    <w:rsid w:val="006712F7"/>
    <w:rsid w:val="006906FE"/>
    <w:rsid w:val="00727D50"/>
    <w:rsid w:val="0078356F"/>
    <w:rsid w:val="007B10D3"/>
    <w:rsid w:val="007F3B0C"/>
    <w:rsid w:val="007F408F"/>
    <w:rsid w:val="0080658F"/>
    <w:rsid w:val="0084195C"/>
    <w:rsid w:val="008C2A57"/>
    <w:rsid w:val="009416D1"/>
    <w:rsid w:val="009608E0"/>
    <w:rsid w:val="00965F17"/>
    <w:rsid w:val="009C250E"/>
    <w:rsid w:val="009D108A"/>
    <w:rsid w:val="00A03CC9"/>
    <w:rsid w:val="00BE779D"/>
    <w:rsid w:val="00CA70D7"/>
    <w:rsid w:val="00D7150D"/>
    <w:rsid w:val="00D80308"/>
    <w:rsid w:val="00DD0947"/>
    <w:rsid w:val="00E90171"/>
    <w:rsid w:val="00EE357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5"/>
    <w:uiPriority w:val="34"/>
    <w:qFormat/>
    <w:rsid w:val="008C2A57"/>
    <w:pPr>
      <w:ind w:left="720"/>
      <w:contextualSpacing/>
    </w:p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4"/>
    <w:uiPriority w:val="34"/>
    <w:locked/>
    <w:rsid w:val="008C2A5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15</cp:revision>
  <cp:lastPrinted>2025-06-30T11:19:00Z</cp:lastPrinted>
  <dcterms:created xsi:type="dcterms:W3CDTF">2025-06-11T07:37:00Z</dcterms:created>
  <dcterms:modified xsi:type="dcterms:W3CDTF">2025-09-23T10:07:00Z</dcterms:modified>
</cp:coreProperties>
</file>